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leftChars="0" w:right="0" w:rightChars="0"/>
        <w:jc w:val="center"/>
        <w:rPr>
          <w:rFonts w:ascii="新宋体" w:hAnsi="新宋体" w:eastAsia="新宋体" w:cs="新宋体"/>
          <w:color w:val="auto"/>
          <w:sz w:val="84"/>
          <w:szCs w:val="84"/>
          <w:highlight w:val="none"/>
        </w:rPr>
      </w:pPr>
      <w:r>
        <w:rPr>
          <w:rFonts w:hint="eastAsia" w:ascii="新宋体" w:hAnsi="新宋体" w:eastAsia="新宋体" w:cs="新宋体"/>
          <w:b/>
          <w:color w:val="auto"/>
          <w:sz w:val="84"/>
          <w:szCs w:val="84"/>
          <w:highlight w:val="none"/>
        </w:rPr>
        <w:t>温州市国有企业</w:t>
      </w:r>
    </w:p>
    <w:p>
      <w:pPr>
        <w:pStyle w:val="16"/>
        <w:spacing w:line="240" w:lineRule="auto"/>
        <w:ind w:left="0" w:leftChars="0" w:right="1470"/>
        <w:jc w:val="center"/>
        <w:rPr>
          <w:rFonts w:ascii="新宋体" w:hAnsi="新宋体" w:eastAsia="新宋体" w:cs="新宋体"/>
          <w:b/>
          <w:bCs/>
          <w:color w:val="auto"/>
          <w:spacing w:val="140"/>
          <w:sz w:val="84"/>
          <w:szCs w:val="84"/>
          <w:highlight w:val="none"/>
        </w:rPr>
      </w:pPr>
      <w:r>
        <w:rPr>
          <w:rFonts w:hint="eastAsia" w:ascii="新宋体" w:hAnsi="新宋体" w:eastAsia="新宋体" w:cs="新宋体"/>
          <w:b/>
          <w:bCs/>
          <w:color w:val="auto"/>
          <w:spacing w:val="140"/>
          <w:sz w:val="84"/>
          <w:szCs w:val="84"/>
          <w:highlight w:val="none"/>
        </w:rPr>
        <w:t xml:space="preserve">  采购文件</w:t>
      </w:r>
    </w:p>
    <w:p>
      <w:pPr>
        <w:jc w:val="center"/>
        <w:rPr>
          <w:color w:val="auto"/>
          <w:highlight w:val="none"/>
        </w:rPr>
      </w:pPr>
      <w:r>
        <w:rPr>
          <w:rFonts w:hint="eastAsia" w:ascii="新宋体" w:hAnsi="新宋体" w:eastAsia="新宋体" w:cs="新宋体"/>
          <w:b/>
          <w:color w:val="auto"/>
          <w:sz w:val="52"/>
          <w:highlight w:val="none"/>
        </w:rPr>
        <w:drawing>
          <wp:inline distT="0" distB="0" distL="114300" distR="114300">
            <wp:extent cx="1753235" cy="1748155"/>
            <wp:effectExtent l="0" t="0" r="12065" b="444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pic:cNvPicPr>
                  </pic:nvPicPr>
                  <pic:blipFill>
                    <a:blip r:embed="rId13"/>
                    <a:srcRect/>
                    <a:stretch>
                      <a:fillRect/>
                    </a:stretch>
                  </pic:blipFill>
                  <pic:spPr>
                    <a:xfrm>
                      <a:off x="0" y="0"/>
                      <a:ext cx="1753235" cy="1748155"/>
                    </a:xfrm>
                    <a:prstGeom prst="rect">
                      <a:avLst/>
                    </a:prstGeom>
                    <a:noFill/>
                    <a:ln>
                      <a:noFill/>
                    </a:ln>
                  </pic:spPr>
                </pic:pic>
              </a:graphicData>
            </a:graphic>
          </wp:inline>
        </w:drawing>
      </w:r>
    </w:p>
    <w:p>
      <w:pPr>
        <w:pStyle w:val="16"/>
        <w:ind w:left="1470" w:right="1470"/>
        <w:rPr>
          <w:color w:val="auto"/>
          <w:highlight w:val="none"/>
        </w:rPr>
      </w:pPr>
    </w:p>
    <w:p>
      <w:pPr>
        <w:jc w:val="center"/>
        <w:rPr>
          <w:rFonts w:ascii="新宋体" w:hAnsi="新宋体" w:eastAsia="新宋体" w:cs="新宋体"/>
          <w:color w:val="auto"/>
          <w:spacing w:val="40"/>
          <w:sz w:val="30"/>
          <w:szCs w:val="30"/>
          <w:highlight w:val="none"/>
        </w:rPr>
      </w:pPr>
    </w:p>
    <w:tbl>
      <w:tblPr>
        <w:tblStyle w:val="30"/>
        <w:tblW w:w="4874" w:type="dxa"/>
        <w:jc w:val="center"/>
        <w:tblLayout w:type="fixed"/>
        <w:tblCellMar>
          <w:top w:w="0" w:type="dxa"/>
          <w:left w:w="108" w:type="dxa"/>
          <w:bottom w:w="0" w:type="dxa"/>
          <w:right w:w="108" w:type="dxa"/>
        </w:tblCellMar>
      </w:tblPr>
      <w:tblGrid>
        <w:gridCol w:w="1559"/>
        <w:gridCol w:w="3315"/>
      </w:tblGrid>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项目编号：</w:t>
            </w:r>
          </w:p>
        </w:tc>
        <w:tc>
          <w:tcPr>
            <w:tcW w:w="3315" w:type="dxa"/>
            <w:vAlign w:val="center"/>
          </w:tcPr>
          <w:p>
            <w:pPr>
              <w:rPr>
                <w:rFonts w:ascii="新宋体" w:hAnsi="新宋体" w:eastAsia="新宋体" w:cs="新宋体"/>
                <w:b/>
                <w:color w:val="auto"/>
                <w:sz w:val="28"/>
                <w:szCs w:val="28"/>
                <w:highlight w:val="none"/>
              </w:rPr>
            </w:pPr>
            <w:r>
              <w:rPr>
                <w:rFonts w:ascii="新宋体" w:hAnsi="新宋体" w:eastAsia="新宋体" w:cs="新宋体"/>
                <w:b/>
                <w:color w:val="auto"/>
                <w:sz w:val="28"/>
                <w:szCs w:val="28"/>
                <w:highlight w:val="none"/>
              </w:rPr>
              <w:t>XCQT-MC-2021-056</w:t>
            </w:r>
          </w:p>
        </w:tc>
      </w:tr>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项目名称：</w:t>
            </w:r>
          </w:p>
        </w:tc>
        <w:tc>
          <w:tcPr>
            <w:tcW w:w="3315" w:type="dxa"/>
            <w:vAlign w:val="center"/>
          </w:tcPr>
          <w:p>
            <w:pPr>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印象南塘景区花卉苗木（第二次）</w:t>
            </w:r>
          </w:p>
        </w:tc>
      </w:tr>
      <w:tr>
        <w:tblPrEx>
          <w:tblCellMar>
            <w:top w:w="0" w:type="dxa"/>
            <w:left w:w="108" w:type="dxa"/>
            <w:bottom w:w="0" w:type="dxa"/>
            <w:right w:w="108" w:type="dxa"/>
          </w:tblCellMar>
        </w:tblPrEx>
        <w:trPr>
          <w:trHeight w:val="1089" w:hRule="atLeast"/>
          <w:jc w:val="center"/>
        </w:trPr>
        <w:tc>
          <w:tcPr>
            <w:tcW w:w="1559" w:type="dxa"/>
            <w:vAlign w:val="center"/>
          </w:tcPr>
          <w:p>
            <w:pPr>
              <w:rPr>
                <w:rFonts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采购方式：</w:t>
            </w:r>
          </w:p>
        </w:tc>
        <w:tc>
          <w:tcPr>
            <w:tcW w:w="3315" w:type="dxa"/>
            <w:vAlign w:val="center"/>
          </w:tcPr>
          <w:p>
            <w:pPr>
              <w:rPr>
                <w:rFonts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公开招标</w:t>
            </w:r>
          </w:p>
        </w:tc>
      </w:tr>
    </w:tbl>
    <w:p>
      <w:pPr>
        <w:spacing w:line="600" w:lineRule="exact"/>
        <w:ind w:firstLine="904" w:firstLineChars="300"/>
        <w:jc w:val="center"/>
        <w:rPr>
          <w:rFonts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 xml:space="preserve">                 </w:t>
      </w:r>
    </w:p>
    <w:p>
      <w:pPr>
        <w:spacing w:line="480" w:lineRule="auto"/>
        <w:ind w:firstLine="744" w:firstLineChars="247"/>
        <w:rPr>
          <w:rFonts w:ascii="新宋体" w:hAnsi="新宋体" w:eastAsia="新宋体" w:cs="新宋体"/>
          <w:b/>
          <w:color w:val="auto"/>
          <w:sz w:val="30"/>
          <w:szCs w:val="30"/>
          <w:highlight w:val="none"/>
        </w:rPr>
      </w:pPr>
    </w:p>
    <w:p>
      <w:pPr>
        <w:spacing w:line="480" w:lineRule="auto"/>
        <w:ind w:firstLine="1906" w:firstLineChars="633"/>
        <w:rPr>
          <w:rFonts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采   购   人：温州市名城资产营运有限公司</w:t>
      </w:r>
    </w:p>
    <w:p>
      <w:pPr>
        <w:spacing w:line="480" w:lineRule="auto"/>
        <w:ind w:firstLine="1906" w:firstLineChars="633"/>
        <w:jc w:val="left"/>
        <w:rPr>
          <w:rFonts w:ascii="新宋体" w:hAnsi="新宋体" w:eastAsia="新宋体" w:cs="新宋体"/>
          <w:b/>
          <w:color w:val="auto"/>
          <w:sz w:val="30"/>
          <w:szCs w:val="30"/>
          <w:highlight w:val="none"/>
        </w:rPr>
      </w:pPr>
      <w:r>
        <w:rPr>
          <w:rFonts w:hint="eastAsia" w:ascii="新宋体" w:hAnsi="新宋体" w:eastAsia="新宋体" w:cs="新宋体"/>
          <w:b/>
          <w:color w:val="auto"/>
          <w:sz w:val="30"/>
          <w:szCs w:val="30"/>
          <w:highlight w:val="none"/>
        </w:rPr>
        <w:t>采购代理机构：浙江省成套招标代理有限公司</w:t>
      </w:r>
    </w:p>
    <w:p>
      <w:pPr>
        <w:spacing w:line="600" w:lineRule="exact"/>
        <w:jc w:val="center"/>
        <w:rPr>
          <w:rFonts w:ascii="新宋体" w:hAnsi="新宋体" w:eastAsia="新宋体" w:cs="新宋体"/>
          <w:b/>
          <w:color w:val="auto"/>
          <w:sz w:val="30"/>
          <w:szCs w:val="30"/>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linePitch="312" w:charSpace="0"/>
        </w:sectPr>
      </w:pPr>
      <w:r>
        <w:rPr>
          <w:rFonts w:hint="eastAsia" w:ascii="新宋体" w:hAnsi="新宋体" w:eastAsia="新宋体" w:cs="新宋体"/>
          <w:b/>
          <w:color w:val="auto"/>
          <w:sz w:val="30"/>
          <w:szCs w:val="30"/>
          <w:highlight w:val="none"/>
        </w:rPr>
        <w:t xml:space="preserve">     二○二一年</w:t>
      </w:r>
      <w:r>
        <w:rPr>
          <w:rFonts w:hint="eastAsia" w:ascii="新宋体" w:hAnsi="新宋体" w:eastAsia="新宋体" w:cs="新宋体"/>
          <w:b/>
          <w:color w:val="auto"/>
          <w:sz w:val="30"/>
          <w:szCs w:val="30"/>
          <w:highlight w:val="none"/>
          <w:lang w:val="en-US" w:eastAsia="zh-CN"/>
        </w:rPr>
        <w:t>九</w:t>
      </w:r>
      <w:r>
        <w:rPr>
          <w:rFonts w:hint="eastAsia" w:ascii="新宋体" w:hAnsi="新宋体" w:eastAsia="新宋体" w:cs="新宋体"/>
          <w:b/>
          <w:color w:val="auto"/>
          <w:sz w:val="30"/>
          <w:szCs w:val="30"/>
          <w:highlight w:val="none"/>
        </w:rPr>
        <w:t>月</w:t>
      </w:r>
    </w:p>
    <w:p>
      <w:pPr>
        <w:jc w:val="center"/>
        <w:rPr>
          <w:rFonts w:ascii="新宋体" w:hAnsi="新宋体" w:eastAsia="新宋体" w:cs="新宋体"/>
          <w:b/>
          <w:bCs/>
          <w:color w:val="auto"/>
          <w:sz w:val="48"/>
          <w:szCs w:val="48"/>
          <w:highlight w:val="none"/>
        </w:rPr>
      </w:pPr>
      <w:r>
        <w:rPr>
          <w:rFonts w:hint="eastAsia" w:ascii="新宋体" w:hAnsi="新宋体" w:eastAsia="新宋体" w:cs="新宋体"/>
          <w:b/>
          <w:bCs/>
          <w:color w:val="auto"/>
          <w:sz w:val="48"/>
          <w:szCs w:val="48"/>
          <w:highlight w:val="none"/>
        </w:rPr>
        <w:t>目    录</w:t>
      </w:r>
    </w:p>
    <w:p>
      <w:pPr>
        <w:pStyle w:val="25"/>
        <w:spacing w:line="360" w:lineRule="auto"/>
        <w:ind w:left="282" w:hanging="282"/>
        <w:rPr>
          <w:rFonts w:ascii="新宋体" w:hAnsi="新宋体" w:eastAsia="新宋体" w:cs="新宋体"/>
          <w:color w:val="auto"/>
          <w:sz w:val="22"/>
          <w:szCs w:val="22"/>
          <w:highlight w:val="none"/>
        </w:rPr>
      </w:pPr>
      <w:r>
        <w:rPr>
          <w:rStyle w:val="36"/>
          <w:rFonts w:hint="eastAsia" w:ascii="新宋体" w:hAnsi="新宋体" w:eastAsia="新宋体" w:cs="新宋体"/>
          <w:color w:val="auto"/>
          <w:sz w:val="22"/>
          <w:szCs w:val="22"/>
          <w:highlight w:val="none"/>
        </w:rPr>
        <w:t>温州市现代服务业发展集团有限公司</w:t>
      </w:r>
      <w:r>
        <w:rPr>
          <w:rFonts w:hint="eastAsia" w:ascii="新宋体" w:hAnsi="新宋体" w:eastAsia="新宋体" w:cs="新宋体"/>
          <w:bCs/>
          <w:color w:val="auto"/>
          <w:sz w:val="22"/>
          <w:szCs w:val="22"/>
          <w:highlight w:val="none"/>
        </w:rPr>
        <w:fldChar w:fldCharType="begin"/>
      </w:r>
      <w:r>
        <w:rPr>
          <w:rStyle w:val="36"/>
          <w:rFonts w:hint="eastAsia" w:ascii="新宋体" w:hAnsi="新宋体" w:eastAsia="新宋体" w:cs="新宋体"/>
          <w:color w:val="auto"/>
          <w:sz w:val="22"/>
          <w:szCs w:val="22"/>
          <w:highlight w:val="none"/>
        </w:rPr>
        <w:instrText xml:space="preserve"> TOC \o "1-3" \h \z \u </w:instrText>
      </w:r>
      <w:r>
        <w:rPr>
          <w:rFonts w:hint="eastAsia" w:ascii="新宋体" w:hAnsi="新宋体" w:eastAsia="新宋体" w:cs="新宋体"/>
          <w:bCs/>
          <w:color w:val="auto"/>
          <w:sz w:val="22"/>
          <w:szCs w:val="22"/>
          <w:highlight w:val="none"/>
        </w:rPr>
        <w:fldChar w:fldCharType="separate"/>
      </w:r>
      <w:r>
        <w:rPr>
          <w:color w:val="auto"/>
          <w:highlight w:val="none"/>
        </w:rPr>
        <w:fldChar w:fldCharType="begin"/>
      </w:r>
      <w:r>
        <w:rPr>
          <w:color w:val="auto"/>
          <w:highlight w:val="none"/>
        </w:rPr>
        <w:instrText xml:space="preserve"> HYPERLINK \l "_Toc3799542" </w:instrText>
      </w:r>
      <w:r>
        <w:rPr>
          <w:color w:val="auto"/>
          <w:highlight w:val="none"/>
        </w:rPr>
        <w:fldChar w:fldCharType="separate"/>
      </w:r>
      <w:r>
        <w:rPr>
          <w:rStyle w:val="36"/>
          <w:rFonts w:hint="eastAsia" w:ascii="新宋体" w:hAnsi="新宋体" w:eastAsia="新宋体" w:cs="新宋体"/>
          <w:color w:val="auto"/>
          <w:sz w:val="22"/>
          <w:szCs w:val="22"/>
          <w:highlight w:val="none"/>
        </w:rPr>
        <w:t>关于温州市名城资产营运有限公司</w:t>
      </w:r>
      <w:r>
        <w:rPr>
          <w:rStyle w:val="36"/>
          <w:rFonts w:hint="eastAsia" w:ascii="新宋体" w:hAnsi="新宋体" w:eastAsia="新宋体" w:cs="新宋体"/>
          <w:color w:val="auto"/>
          <w:sz w:val="22"/>
          <w:szCs w:val="22"/>
          <w:highlight w:val="none"/>
          <w:lang w:eastAsia="zh-CN"/>
        </w:rPr>
        <w:t>印象南塘景区花卉苗木（第二次）</w:t>
      </w:r>
      <w:r>
        <w:rPr>
          <w:rStyle w:val="36"/>
          <w:rFonts w:hint="eastAsia" w:ascii="新宋体" w:hAnsi="新宋体" w:eastAsia="新宋体" w:cs="新宋体"/>
          <w:color w:val="auto"/>
          <w:sz w:val="22"/>
          <w:szCs w:val="22"/>
          <w:highlight w:val="none"/>
        </w:rPr>
        <w:t>项目（其他类）的采购公告</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_Toc3799542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jc w:val="left"/>
        <w:rPr>
          <w:rStyle w:val="36"/>
          <w:rFonts w:hint="eastAsia" w:ascii="新宋体" w:hAnsi="新宋体" w:eastAsia="新宋体" w:cs="新宋体"/>
          <w:color w:val="auto"/>
          <w:sz w:val="22"/>
          <w:szCs w:val="22"/>
          <w:highlight w:val="none"/>
          <w:lang w:eastAsia="zh-CN"/>
        </w:rPr>
      </w:pPr>
      <w:r>
        <w:rPr>
          <w:rFonts w:hint="eastAsia"/>
          <w:color w:val="auto"/>
          <w:highlight w:val="none"/>
        </w:rPr>
        <w:fldChar w:fldCharType="begin"/>
      </w:r>
      <w:r>
        <w:rPr>
          <w:color w:val="auto"/>
          <w:highlight w:val="none"/>
        </w:rPr>
        <w:instrText xml:space="preserve"> HYPERLINK \l "_Toc3799543" </w:instrText>
      </w:r>
      <w:r>
        <w:rPr>
          <w:rFonts w:hint="eastAsia"/>
          <w:color w:val="auto"/>
          <w:highlight w:val="none"/>
        </w:rPr>
        <w:fldChar w:fldCharType="separate"/>
      </w:r>
      <w:r>
        <w:rPr>
          <w:rStyle w:val="36"/>
          <w:rFonts w:hint="eastAsia" w:ascii="新宋体" w:hAnsi="新宋体" w:eastAsia="新宋体" w:cs="新宋体"/>
          <w:color w:val="auto"/>
          <w:sz w:val="22"/>
          <w:szCs w:val="22"/>
          <w:highlight w:val="none"/>
        </w:rPr>
        <w:t>温州市现代服务业发展集团有限公司关于温州市名城资产营运有限公司</w:t>
      </w:r>
      <w:r>
        <w:rPr>
          <w:rStyle w:val="36"/>
          <w:rFonts w:hint="eastAsia" w:ascii="新宋体" w:hAnsi="新宋体" w:eastAsia="新宋体" w:cs="新宋体"/>
          <w:color w:val="auto"/>
          <w:sz w:val="22"/>
          <w:szCs w:val="22"/>
          <w:highlight w:val="none"/>
          <w:lang w:eastAsia="zh-CN"/>
        </w:rPr>
        <w:t>印象南塘景区花卉苗木（第二次）</w:t>
      </w:r>
    </w:p>
    <w:p>
      <w:pPr>
        <w:pStyle w:val="25"/>
        <w:spacing w:line="360" w:lineRule="auto"/>
        <w:ind w:left="282" w:hanging="282"/>
        <w:jc w:val="left"/>
        <w:rPr>
          <w:rFonts w:ascii="新宋体" w:hAnsi="新宋体" w:eastAsia="新宋体" w:cs="新宋体"/>
          <w:color w:val="auto"/>
          <w:sz w:val="22"/>
          <w:szCs w:val="22"/>
          <w:highlight w:val="none"/>
        </w:rPr>
      </w:pPr>
      <w:r>
        <w:rPr>
          <w:rStyle w:val="36"/>
          <w:rFonts w:hint="eastAsia" w:ascii="新宋体" w:hAnsi="新宋体" w:eastAsia="新宋体" w:cs="新宋体"/>
          <w:color w:val="auto"/>
          <w:sz w:val="22"/>
          <w:szCs w:val="22"/>
          <w:highlight w:val="none"/>
        </w:rPr>
        <w:t>项目（其他类）征求意见公示</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"_Toc3799543" </w:instrText>
      </w:r>
      <w:r>
        <w:rPr>
          <w:color w:val="auto"/>
          <w:highlight w:val="none"/>
        </w:rPr>
        <w:fldChar w:fldCharType="separate"/>
      </w:r>
      <w:r>
        <w:rPr>
          <w:rStyle w:val="36"/>
          <w:rFonts w:hint="eastAsia" w:ascii="新宋体" w:hAnsi="新宋体" w:eastAsia="新宋体" w:cs="新宋体"/>
          <w:color w:val="auto"/>
          <w:sz w:val="22"/>
          <w:szCs w:val="22"/>
          <w:highlight w:val="none"/>
        </w:rPr>
        <w:t>第一部分    投标人须知</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_Toc3799543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"_Toc3799544"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一、  说明</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_Toc3799544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"_Toc3799545"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二、 采购文件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_Toc3799545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"_Toc3799546"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三、 投标文件的编制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_Toc3799546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8</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"_Toc3799547"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四、 投标文件的递交</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_Toc3799547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12</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"_Toc3799548"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五、 开标和评标</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_Toc3799548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13</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"_Toc3799549"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六、 授予合同</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_Toc3799549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15</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"_Toc3799550" </w:instrText>
      </w:r>
      <w:r>
        <w:rPr>
          <w:color w:val="auto"/>
          <w:highlight w:val="none"/>
        </w:rPr>
        <w:fldChar w:fldCharType="separate"/>
      </w:r>
      <w:r>
        <w:rPr>
          <w:rStyle w:val="36"/>
          <w:rFonts w:hint="eastAsia" w:ascii="新宋体" w:hAnsi="新宋体" w:eastAsia="新宋体" w:cs="新宋体"/>
          <w:color w:val="auto"/>
          <w:sz w:val="22"/>
          <w:szCs w:val="22"/>
          <w:highlight w:val="none"/>
        </w:rPr>
        <w:t>第二部分   合同格式及合同主要条款</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_Toc3799550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16</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"_Toc3799551" </w:instrText>
      </w:r>
      <w:r>
        <w:rPr>
          <w:color w:val="auto"/>
          <w:highlight w:val="none"/>
        </w:rPr>
        <w:fldChar w:fldCharType="separate"/>
      </w:r>
      <w:r>
        <w:rPr>
          <w:rStyle w:val="36"/>
          <w:rFonts w:hint="eastAsia" w:ascii="新宋体" w:hAnsi="新宋体" w:eastAsia="新宋体" w:cs="新宋体"/>
          <w:color w:val="auto"/>
          <w:sz w:val="22"/>
          <w:szCs w:val="22"/>
          <w:highlight w:val="none"/>
        </w:rPr>
        <w:t>第三部分   附件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_Toc3799551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21</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"_Toc3799552"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附件一  投标函</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_Toc3799552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21</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"_Toc3799553"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附件二  报价一览表</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_Toc3799553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22</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"_Toc3799554"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附件三 技术规格、商务条款偏离表</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_Toc3799554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32</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"_Toc3799555" </w:instrText>
      </w:r>
      <w:r>
        <w:rPr>
          <w:color w:val="auto"/>
          <w:highlight w:val="none"/>
        </w:rPr>
        <w:fldChar w:fldCharType="separate"/>
      </w:r>
      <w:r>
        <w:rPr>
          <w:rStyle w:val="36"/>
          <w:rFonts w:hint="eastAsia" w:ascii="新宋体" w:hAnsi="新宋体" w:eastAsia="新宋体" w:cs="新宋体"/>
          <w:b/>
          <w:bCs/>
          <w:color w:val="auto"/>
          <w:sz w:val="22"/>
          <w:szCs w:val="22"/>
          <w:highlight w:val="none"/>
        </w:rPr>
        <w:t>附件四  资格证明文件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_Toc3799555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34</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"_Toc3799557" </w:instrText>
      </w:r>
      <w:r>
        <w:rPr>
          <w:color w:val="auto"/>
          <w:highlight w:val="none"/>
        </w:rPr>
        <w:fldChar w:fldCharType="separate"/>
      </w:r>
      <w:r>
        <w:rPr>
          <w:rStyle w:val="36"/>
          <w:rFonts w:hint="eastAsia" w:ascii="新宋体" w:hAnsi="新宋体" w:eastAsia="新宋体" w:cs="新宋体"/>
          <w:color w:val="auto"/>
          <w:sz w:val="22"/>
          <w:szCs w:val="22"/>
          <w:highlight w:val="none"/>
        </w:rPr>
        <w:t>第四部分   采购内容及要求</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_Toc3799557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39</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pStyle w:val="25"/>
        <w:spacing w:line="360" w:lineRule="auto"/>
        <w:ind w:left="269" w:hanging="269"/>
        <w:rPr>
          <w:rFonts w:ascii="新宋体" w:hAnsi="新宋体" w:eastAsia="新宋体" w:cs="新宋体"/>
          <w:color w:val="auto"/>
          <w:sz w:val="22"/>
          <w:szCs w:val="22"/>
          <w:highlight w:val="none"/>
        </w:rPr>
      </w:pPr>
      <w:r>
        <w:rPr>
          <w:color w:val="auto"/>
          <w:highlight w:val="none"/>
        </w:rPr>
        <w:fldChar w:fldCharType="begin"/>
      </w:r>
      <w:r>
        <w:rPr>
          <w:color w:val="auto"/>
          <w:highlight w:val="none"/>
        </w:rPr>
        <w:instrText xml:space="preserve"> HYPERLINK \l "_Toc3799558" </w:instrText>
      </w:r>
      <w:r>
        <w:rPr>
          <w:color w:val="auto"/>
          <w:highlight w:val="none"/>
        </w:rPr>
        <w:fldChar w:fldCharType="separate"/>
      </w:r>
      <w:r>
        <w:rPr>
          <w:rStyle w:val="36"/>
          <w:rFonts w:hint="eastAsia" w:ascii="新宋体" w:hAnsi="新宋体" w:eastAsia="新宋体" w:cs="新宋体"/>
          <w:color w:val="auto"/>
          <w:sz w:val="22"/>
          <w:szCs w:val="22"/>
          <w:highlight w:val="none"/>
        </w:rPr>
        <w:t>第五部分   评标原则及方法</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fldChar w:fldCharType="begin"/>
      </w:r>
      <w:r>
        <w:rPr>
          <w:rFonts w:hint="eastAsia" w:ascii="新宋体" w:hAnsi="新宋体" w:eastAsia="新宋体" w:cs="新宋体"/>
          <w:color w:val="auto"/>
          <w:sz w:val="22"/>
          <w:szCs w:val="22"/>
          <w:highlight w:val="none"/>
        </w:rPr>
        <w:instrText xml:space="preserve"> PAGEREF _Toc3799558 \h </w:instrText>
      </w:r>
      <w:r>
        <w:rPr>
          <w:rFonts w:hint="eastAsia" w:ascii="新宋体" w:hAnsi="新宋体" w:eastAsia="新宋体" w:cs="新宋体"/>
          <w:color w:val="auto"/>
          <w:sz w:val="22"/>
          <w:szCs w:val="22"/>
          <w:highlight w:val="none"/>
        </w:rPr>
        <w:fldChar w:fldCharType="separate"/>
      </w:r>
      <w:r>
        <w:rPr>
          <w:rFonts w:hint="eastAsia" w:ascii="新宋体" w:hAnsi="新宋体" w:eastAsia="新宋体" w:cs="新宋体"/>
          <w:color w:val="auto"/>
          <w:sz w:val="22"/>
          <w:szCs w:val="22"/>
          <w:highlight w:val="none"/>
        </w:rPr>
        <w:t>50</w:t>
      </w:r>
      <w:r>
        <w:rPr>
          <w:rFonts w:hint="eastAsia" w:ascii="新宋体" w:hAnsi="新宋体" w:eastAsia="新宋体" w:cs="新宋体"/>
          <w:color w:val="auto"/>
          <w:sz w:val="22"/>
          <w:szCs w:val="22"/>
          <w:highlight w:val="none"/>
        </w:rPr>
        <w:fldChar w:fldCharType="end"/>
      </w:r>
      <w:r>
        <w:rPr>
          <w:rFonts w:hint="eastAsia" w:ascii="新宋体" w:hAnsi="新宋体" w:eastAsia="新宋体" w:cs="新宋体"/>
          <w:color w:val="auto"/>
          <w:sz w:val="22"/>
          <w:szCs w:val="22"/>
          <w:highlight w:val="none"/>
        </w:rPr>
        <w:fldChar w:fldCharType="end"/>
      </w:r>
    </w:p>
    <w:p>
      <w:pPr>
        <w:overflowPunct w:val="0"/>
        <w:spacing w:line="360" w:lineRule="auto"/>
        <w:rPr>
          <w:rFonts w:ascii="新宋体" w:hAnsi="新宋体" w:eastAsia="新宋体" w:cs="新宋体"/>
          <w:color w:val="auto"/>
          <w:szCs w:val="22"/>
          <w:highlight w:val="none"/>
        </w:rPr>
      </w:pPr>
      <w:r>
        <w:rPr>
          <w:rFonts w:hint="eastAsia" w:ascii="新宋体" w:hAnsi="新宋体" w:eastAsia="新宋体" w:cs="新宋体"/>
          <w:color w:val="auto"/>
          <w:sz w:val="22"/>
          <w:szCs w:val="22"/>
          <w:highlight w:val="none"/>
        </w:rPr>
        <w:fldChar w:fldCharType="end"/>
      </w:r>
    </w:p>
    <w:p>
      <w:pPr>
        <w:overflowPunct w:val="0"/>
        <w:spacing w:line="60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注：采购文件中加“▲”且加下划线的条款，为采购的实质性要求和条件，着重提醒各投标人注意，并认真查看采购文件中的每一个条款及要求，因误读采购文件而造成的后果，采购人概不负责。</w:t>
      </w:r>
    </w:p>
    <w:p>
      <w:pPr>
        <w:rPr>
          <w:rFonts w:ascii="新宋体" w:hAnsi="新宋体" w:eastAsia="新宋体" w:cs="新宋体"/>
          <w:color w:val="auto"/>
          <w:sz w:val="30"/>
          <w:szCs w:val="30"/>
          <w:highlight w:val="none"/>
        </w:rPr>
      </w:pPr>
      <w:bookmarkStart w:id="0" w:name="_Toc511308229"/>
      <w:r>
        <w:rPr>
          <w:rFonts w:hint="eastAsia" w:ascii="新宋体" w:hAnsi="新宋体" w:eastAsia="新宋体" w:cs="新宋体"/>
          <w:color w:val="auto"/>
          <w:sz w:val="30"/>
          <w:szCs w:val="30"/>
          <w:highlight w:val="none"/>
        </w:rPr>
        <w:br w:type="page"/>
      </w:r>
    </w:p>
    <w:bookmarkEnd w:id="0"/>
    <w:p>
      <w:pPr>
        <w:pStyle w:val="4"/>
        <w:rPr>
          <w:rFonts w:ascii="新宋体" w:hAnsi="新宋体" w:eastAsia="新宋体" w:cs="新宋体"/>
          <w:color w:val="auto"/>
          <w:sz w:val="32"/>
          <w:szCs w:val="32"/>
          <w:highlight w:val="none"/>
        </w:rPr>
      </w:pPr>
      <w:bookmarkStart w:id="1" w:name="_Toc447135149"/>
      <w:bookmarkStart w:id="2" w:name="_Toc3799542"/>
      <w:bookmarkStart w:id="3" w:name="_Toc245191309"/>
      <w:bookmarkStart w:id="4" w:name="_Toc241404197"/>
      <w:bookmarkStart w:id="5" w:name="_Toc251592732"/>
      <w:bookmarkStart w:id="6" w:name="_Toc252194847"/>
      <w:bookmarkStart w:id="7" w:name="_Toc239145349"/>
      <w:bookmarkStart w:id="8" w:name="_Toc221356946"/>
      <w:bookmarkStart w:id="9" w:name="_Toc221423614"/>
      <w:bookmarkStart w:id="10" w:name="_Toc221374621"/>
      <w:bookmarkStart w:id="11" w:name="_Toc245722276"/>
      <w:bookmarkStart w:id="12" w:name="_Toc223715993"/>
      <w:bookmarkStart w:id="13" w:name="_Toc251325209"/>
      <w:bookmarkStart w:id="14" w:name="_Toc246261260"/>
      <w:bookmarkStart w:id="15" w:name="_Toc221356881"/>
      <w:bookmarkStart w:id="16" w:name="_Toc222114874"/>
      <w:r>
        <w:rPr>
          <w:rFonts w:hint="eastAsia" w:ascii="新宋体" w:hAnsi="新宋体" w:eastAsia="新宋体" w:cs="新宋体"/>
          <w:color w:val="auto"/>
          <w:sz w:val="32"/>
          <w:szCs w:val="32"/>
          <w:highlight w:val="none"/>
        </w:rPr>
        <w:t>温州市现代服务业发展集团有限公司关于温州市名城资产营运有限公司</w:t>
      </w:r>
      <w:r>
        <w:rPr>
          <w:rFonts w:hint="eastAsia" w:ascii="新宋体" w:hAnsi="新宋体" w:eastAsia="新宋体" w:cs="新宋体"/>
          <w:color w:val="auto"/>
          <w:sz w:val="32"/>
          <w:szCs w:val="32"/>
          <w:highlight w:val="none"/>
          <w:lang w:eastAsia="zh-CN"/>
        </w:rPr>
        <w:t>印象南塘景区花卉苗木（第二次）</w:t>
      </w:r>
      <w:r>
        <w:rPr>
          <w:rFonts w:hint="eastAsia" w:ascii="新宋体" w:hAnsi="新宋体" w:eastAsia="新宋体" w:cs="新宋体"/>
          <w:color w:val="auto"/>
          <w:sz w:val="32"/>
          <w:szCs w:val="32"/>
          <w:highlight w:val="none"/>
        </w:rPr>
        <w:t>项目（其他类）的</w:t>
      </w:r>
      <w:bookmarkEnd w:id="1"/>
      <w:bookmarkEnd w:id="2"/>
      <w:r>
        <w:rPr>
          <w:rFonts w:hint="eastAsia" w:ascii="新宋体" w:hAnsi="新宋体" w:eastAsia="新宋体" w:cs="新宋体"/>
          <w:color w:val="auto"/>
          <w:sz w:val="32"/>
          <w:szCs w:val="32"/>
          <w:highlight w:val="none"/>
        </w:rPr>
        <w:t>采购公告</w:t>
      </w:r>
    </w:p>
    <w:p>
      <w:pPr>
        <w:widowControl/>
        <w:spacing w:before="60" w:after="60" w:line="360" w:lineRule="auto"/>
        <w:ind w:right="60"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浙江省成套招标代理有限公司接受温州市名城资产营运有限公司委托，就所需</w:t>
      </w:r>
      <w:r>
        <w:rPr>
          <w:rFonts w:hint="eastAsia" w:ascii="新宋体" w:hAnsi="新宋体" w:eastAsia="新宋体" w:cs="新宋体"/>
          <w:color w:val="auto"/>
          <w:kern w:val="0"/>
          <w:sz w:val="22"/>
          <w:szCs w:val="22"/>
          <w:highlight w:val="none"/>
          <w:lang w:eastAsia="zh-CN"/>
        </w:rPr>
        <w:t>印象南塘景区花卉苗木（第二次）</w:t>
      </w:r>
      <w:r>
        <w:rPr>
          <w:rFonts w:hint="eastAsia" w:ascii="新宋体" w:hAnsi="新宋体" w:eastAsia="新宋体" w:cs="新宋体"/>
          <w:color w:val="auto"/>
          <w:kern w:val="0"/>
          <w:sz w:val="22"/>
          <w:szCs w:val="22"/>
          <w:highlight w:val="none"/>
        </w:rPr>
        <w:t>项目以公开招标方式进行采购，欢迎国内合格的投标人前来投标。</w:t>
      </w:r>
    </w:p>
    <w:p>
      <w:pPr>
        <w:widowControl/>
        <w:spacing w:before="60" w:after="60"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一、采购项目编号: XCQT-MC-2021-056</w:t>
      </w:r>
    </w:p>
    <w:p>
      <w:pPr>
        <w:widowControl/>
        <w:spacing w:before="60" w:after="60"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二、采购项目性质：</w:t>
      </w:r>
      <w:r>
        <w:rPr>
          <w:rStyle w:val="33"/>
          <w:rFonts w:ascii="新宋体" w:hAnsi="新宋体" w:eastAsia="新宋体" w:cs="新宋体"/>
          <w:b w:val="0"/>
          <w:bCs/>
          <w:color w:val="auto"/>
          <w:sz w:val="22"/>
          <w:szCs w:val="22"/>
          <w:highlight w:val="none"/>
        </w:rPr>
        <w:t>自主采购委托代理（其他类国企采购，属非政府采购项目）</w:t>
      </w:r>
    </w:p>
    <w:p>
      <w:pPr>
        <w:widowControl/>
        <w:spacing w:before="60" w:after="60"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三、采购项目概况（内容、数量、简要说明等）：</w:t>
      </w:r>
    </w:p>
    <w:tbl>
      <w:tblPr>
        <w:tblStyle w:val="30"/>
        <w:tblW w:w="9889" w:type="dxa"/>
        <w:tblInd w:w="0" w:type="dxa"/>
        <w:tblLayout w:type="fixed"/>
        <w:tblCellMar>
          <w:top w:w="0" w:type="dxa"/>
          <w:left w:w="108" w:type="dxa"/>
          <w:bottom w:w="0" w:type="dxa"/>
          <w:right w:w="108" w:type="dxa"/>
        </w:tblCellMar>
      </w:tblPr>
      <w:tblGrid>
        <w:gridCol w:w="796"/>
        <w:gridCol w:w="2300"/>
        <w:gridCol w:w="938"/>
        <w:gridCol w:w="1450"/>
        <w:gridCol w:w="1587"/>
        <w:gridCol w:w="2818"/>
      </w:tblGrid>
      <w:tr>
        <w:tblPrEx>
          <w:tblCellMar>
            <w:top w:w="0" w:type="dxa"/>
            <w:left w:w="108" w:type="dxa"/>
            <w:bottom w:w="0" w:type="dxa"/>
            <w:right w:w="108" w:type="dxa"/>
          </w:tblCellMar>
        </w:tblPrEx>
        <w:tc>
          <w:tcPr>
            <w:tcW w:w="7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bookmarkStart w:id="17" w:name="B09_招标内容"/>
            <w:bookmarkEnd w:id="17"/>
            <w:r>
              <w:rPr>
                <w:rFonts w:hint="eastAsia" w:ascii="新宋体" w:hAnsi="新宋体" w:eastAsia="新宋体" w:cs="新宋体"/>
                <w:bCs/>
                <w:color w:val="auto"/>
                <w:kern w:val="0"/>
                <w:sz w:val="22"/>
                <w:szCs w:val="22"/>
                <w:highlight w:val="none"/>
              </w:rPr>
              <w:t>序号</w:t>
            </w:r>
          </w:p>
        </w:tc>
        <w:tc>
          <w:tcPr>
            <w:tcW w:w="23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标项内容</w:t>
            </w:r>
          </w:p>
        </w:tc>
        <w:tc>
          <w:tcPr>
            <w:tcW w:w="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数量</w:t>
            </w:r>
          </w:p>
        </w:tc>
        <w:tc>
          <w:tcPr>
            <w:tcW w:w="14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单位</w:t>
            </w:r>
          </w:p>
        </w:tc>
        <w:tc>
          <w:tcPr>
            <w:tcW w:w="15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预算金额</w:t>
            </w:r>
          </w:p>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(人民币)</w:t>
            </w:r>
          </w:p>
        </w:tc>
        <w:tc>
          <w:tcPr>
            <w:tcW w:w="2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简要说明</w:t>
            </w:r>
          </w:p>
        </w:tc>
      </w:tr>
      <w:tr>
        <w:tblPrEx>
          <w:tblCellMar>
            <w:top w:w="0" w:type="dxa"/>
            <w:left w:w="108" w:type="dxa"/>
            <w:bottom w:w="0" w:type="dxa"/>
            <w:right w:w="108" w:type="dxa"/>
          </w:tblCellMar>
        </w:tblPrEx>
        <w:tc>
          <w:tcPr>
            <w:tcW w:w="7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w:t>
            </w:r>
          </w:p>
        </w:tc>
        <w:tc>
          <w:tcPr>
            <w:tcW w:w="23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印象</w:t>
            </w:r>
            <w:r>
              <w:rPr>
                <w:rFonts w:ascii="新宋体" w:hAnsi="新宋体" w:eastAsia="新宋体" w:cs="新宋体"/>
                <w:bCs/>
                <w:color w:val="auto"/>
                <w:kern w:val="0"/>
                <w:sz w:val="22"/>
                <w:szCs w:val="22"/>
                <w:highlight w:val="none"/>
              </w:rPr>
              <w:t>南塘景区</w:t>
            </w:r>
            <w:r>
              <w:rPr>
                <w:rFonts w:hint="eastAsia" w:ascii="新宋体" w:hAnsi="新宋体" w:eastAsia="新宋体" w:cs="新宋体"/>
                <w:bCs/>
                <w:color w:val="auto"/>
                <w:kern w:val="0"/>
                <w:sz w:val="22"/>
                <w:szCs w:val="22"/>
                <w:highlight w:val="none"/>
              </w:rPr>
              <w:t>花卉苗木</w:t>
            </w:r>
          </w:p>
        </w:tc>
        <w:tc>
          <w:tcPr>
            <w:tcW w:w="9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w:t>
            </w:r>
          </w:p>
        </w:tc>
        <w:tc>
          <w:tcPr>
            <w:tcW w:w="14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批</w:t>
            </w:r>
          </w:p>
        </w:tc>
        <w:tc>
          <w:tcPr>
            <w:tcW w:w="158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sz w:val="22"/>
                <w:szCs w:val="22"/>
                <w:highlight w:val="none"/>
              </w:rPr>
              <w:t>80万元</w:t>
            </w:r>
          </w:p>
        </w:tc>
        <w:tc>
          <w:tcPr>
            <w:tcW w:w="2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color w:val="auto"/>
                <w:sz w:val="22"/>
                <w:highlight w:val="none"/>
              </w:rPr>
              <w:t>花卉苗木采购，具体详见采购文件第四部分。</w:t>
            </w:r>
          </w:p>
        </w:tc>
      </w:tr>
    </w:tbl>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四、投标人资格要求：</w:t>
      </w:r>
    </w:p>
    <w:p>
      <w:pPr>
        <w:pStyle w:val="14"/>
        <w:spacing w:line="360" w:lineRule="auto"/>
        <w:ind w:firstLine="220"/>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1、具有独立承担民事责任的能力；</w:t>
      </w:r>
    </w:p>
    <w:p>
      <w:pPr>
        <w:pStyle w:val="14"/>
        <w:spacing w:line="360" w:lineRule="auto"/>
        <w:ind w:firstLine="220"/>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2、具有良好的商业信誉和健全的财务会计制度；</w:t>
      </w:r>
    </w:p>
    <w:p>
      <w:pPr>
        <w:pStyle w:val="14"/>
        <w:spacing w:line="360" w:lineRule="auto"/>
        <w:ind w:firstLine="220"/>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3、具有履行合同所必需的设备和专业技术、售后保障等能力；</w:t>
      </w:r>
    </w:p>
    <w:p>
      <w:pPr>
        <w:pStyle w:val="14"/>
        <w:spacing w:line="360" w:lineRule="auto"/>
        <w:ind w:firstLine="220"/>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4、有依法缴纳税收和社会保障资金的良好记录；</w:t>
      </w:r>
    </w:p>
    <w:p>
      <w:pPr>
        <w:pStyle w:val="14"/>
        <w:spacing w:line="360" w:lineRule="auto"/>
        <w:ind w:firstLine="220"/>
        <w:rPr>
          <w:rFonts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5、参加采购、招投标等活动前三年内，在经营活动中没有重大违法记录、严重失信行为和行贿记录；</w:t>
      </w:r>
    </w:p>
    <w:p>
      <w:pPr>
        <w:widowControl/>
        <w:spacing w:line="360" w:lineRule="auto"/>
        <w:ind w:firstLine="220" w:firstLineChars="100"/>
        <w:jc w:val="left"/>
        <w:rPr>
          <w:rFonts w:ascii="新宋体" w:hAnsi="新宋体" w:eastAsia="新宋体" w:cs="新宋体"/>
          <w:color w:val="auto"/>
          <w:kern w:val="0"/>
          <w:sz w:val="22"/>
          <w:szCs w:val="22"/>
          <w:highlight w:val="none"/>
        </w:rPr>
      </w:pPr>
      <w:bookmarkStart w:id="18" w:name="OLE_LINK49"/>
      <w:r>
        <w:rPr>
          <w:rFonts w:hint="eastAsia" w:ascii="新宋体" w:hAnsi="新宋体" w:eastAsia="新宋体" w:cs="新宋体"/>
          <w:color w:val="auto"/>
          <w:kern w:val="0"/>
          <w:sz w:val="22"/>
          <w:szCs w:val="22"/>
          <w:highlight w:val="none"/>
        </w:rPr>
        <w:t>6、供应商未被“信用中国”（www.creditchina.gov.cn）、中国政府采购网（www.ccgp.gov.cn）列入失信被执行人、重大税收违法案件当事人名单、采购严重违法失信行为记录名单</w:t>
      </w:r>
      <w:r>
        <w:rPr>
          <w:rFonts w:hint="eastAsia" w:ascii="新宋体" w:hAnsi="新宋体" w:eastAsia="新宋体" w:cs="新宋体"/>
          <w:color w:val="auto"/>
          <w:sz w:val="22"/>
          <w:szCs w:val="22"/>
          <w:highlight w:val="none"/>
        </w:rPr>
        <w:t>；</w:t>
      </w:r>
    </w:p>
    <w:p>
      <w:pPr>
        <w:widowControl/>
        <w:spacing w:line="360" w:lineRule="auto"/>
        <w:ind w:firstLine="220" w:firstLineChars="100"/>
        <w:jc w:val="left"/>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7、单位负责人为同一人或者存在直接控股、管理关系的不同供应商，不得参加本项目采购活动；</w:t>
      </w:r>
    </w:p>
    <w:p>
      <w:pPr>
        <w:widowControl/>
        <w:tabs>
          <w:tab w:val="left" w:pos="6313"/>
        </w:tabs>
        <w:spacing w:line="360" w:lineRule="auto"/>
        <w:ind w:firstLine="220" w:firstLineChars="1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bookmarkEnd w:id="18"/>
      <w:r>
        <w:rPr>
          <w:rFonts w:hint="eastAsia" w:ascii="新宋体" w:hAnsi="新宋体" w:eastAsia="新宋体" w:cs="新宋体"/>
          <w:color w:val="auto"/>
          <w:sz w:val="22"/>
          <w:szCs w:val="22"/>
          <w:highlight w:val="none"/>
        </w:rPr>
        <w:t>投标人须同时具备有效的林木种子生产许可证和林木种子经营许可证（或具备有效的林木种子生产经营许可证）；</w:t>
      </w:r>
    </w:p>
    <w:p>
      <w:pPr>
        <w:widowControl/>
        <w:tabs>
          <w:tab w:val="left" w:pos="6313"/>
        </w:tabs>
        <w:spacing w:line="360" w:lineRule="auto"/>
        <w:ind w:firstLine="220" w:firstLineChars="1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9、本项目不接受联合体</w:t>
      </w:r>
      <w:r>
        <w:rPr>
          <w:rFonts w:hint="eastAsia" w:ascii="新宋体" w:hAnsi="新宋体" w:eastAsia="新宋体" w:cs="新宋体"/>
          <w:color w:val="auto"/>
          <w:sz w:val="22"/>
          <w:szCs w:val="22"/>
          <w:highlight w:val="none"/>
        </w:rPr>
        <w:t>。</w:t>
      </w:r>
    </w:p>
    <w:p>
      <w:pPr>
        <w:widowControl/>
        <w:spacing w:before="60" w:after="60" w:line="360" w:lineRule="auto"/>
        <w:ind w:left="60" w:right="60"/>
        <w:jc w:val="left"/>
        <w:rPr>
          <w:rFonts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rPr>
        <w:t>五、发售</w:t>
      </w:r>
      <w:r>
        <w:rPr>
          <w:rFonts w:hint="eastAsia" w:ascii="新宋体" w:hAnsi="新宋体" w:eastAsia="新宋体" w:cs="新宋体"/>
          <w:color w:val="auto"/>
          <w:kern w:val="0"/>
          <w:sz w:val="22"/>
          <w:szCs w:val="22"/>
          <w:highlight w:val="none"/>
        </w:rPr>
        <w:t>采购文件时间及地点：</w:t>
      </w:r>
    </w:p>
    <w:p>
      <w:pPr>
        <w:widowControl/>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1、采购文件发售时间：2021年</w:t>
      </w:r>
      <w:r>
        <w:rPr>
          <w:rFonts w:hint="eastAsia" w:ascii="新宋体" w:hAnsi="新宋体" w:eastAsia="新宋体" w:cs="新宋体"/>
          <w:color w:val="auto"/>
          <w:kern w:val="0"/>
          <w:sz w:val="22"/>
          <w:szCs w:val="22"/>
          <w:highlight w:val="none"/>
          <w:lang w:val="en-US" w:eastAsia="zh-CN"/>
        </w:rPr>
        <w:t>9</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日起至投标截止时间止（未购买采购文件的潜在投标人不得参加投标。)；</w:t>
      </w:r>
    </w:p>
    <w:p>
      <w:pPr>
        <w:widowControl/>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2、采购文件售价：人民币500元整（售后不退）；</w:t>
      </w:r>
    </w:p>
    <w:p>
      <w:pPr>
        <w:widowControl/>
        <w:spacing w:line="360" w:lineRule="auto"/>
        <w:ind w:firstLine="440" w:firstLineChars="200"/>
        <w:jc w:val="left"/>
        <w:rPr>
          <w:rFonts w:ascii="新宋体" w:hAnsi="新宋体" w:eastAsia="新宋体" w:cs="新宋体"/>
          <w:b/>
          <w:bCs/>
          <w:color w:val="auto"/>
          <w:kern w:val="0"/>
          <w:sz w:val="22"/>
          <w:szCs w:val="22"/>
          <w:highlight w:val="none"/>
        </w:rPr>
      </w:pPr>
      <w:bookmarkStart w:id="19" w:name="_Hlk3380468"/>
      <w:r>
        <w:rPr>
          <w:rFonts w:hint="eastAsia" w:ascii="新宋体" w:hAnsi="新宋体" w:eastAsia="新宋体" w:cs="新宋体"/>
          <w:color w:val="auto"/>
          <w:kern w:val="0"/>
          <w:sz w:val="22"/>
          <w:szCs w:val="22"/>
          <w:highlight w:val="none"/>
        </w:rPr>
        <w:t>3、发售地点：温州市温州大道展宏大厦2栋702室。</w:t>
      </w:r>
    </w:p>
    <w:bookmarkEnd w:id="19"/>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六、投标截止时间：</w:t>
      </w:r>
      <w:bookmarkStart w:id="20" w:name="B23_谈判响应文件提交截止日期"/>
      <w:bookmarkEnd w:id="20"/>
      <w:r>
        <w:rPr>
          <w:rFonts w:hint="eastAsia" w:ascii="新宋体" w:hAnsi="新宋体" w:eastAsia="新宋体" w:cs="新宋体"/>
          <w:bCs/>
          <w:color w:val="auto"/>
          <w:kern w:val="0"/>
          <w:sz w:val="22"/>
          <w:szCs w:val="22"/>
          <w:highlight w:val="none"/>
        </w:rPr>
        <w:t>2021年</w:t>
      </w:r>
      <w:r>
        <w:rPr>
          <w:rFonts w:hint="eastAsia" w:ascii="新宋体" w:hAnsi="新宋体" w:eastAsia="新宋体" w:cs="新宋体"/>
          <w:bCs/>
          <w:color w:val="auto"/>
          <w:kern w:val="0"/>
          <w:sz w:val="22"/>
          <w:szCs w:val="22"/>
          <w:highlight w:val="none"/>
          <w:lang w:val="en-US" w:eastAsia="zh-CN"/>
        </w:rPr>
        <w:t>9</w:t>
      </w:r>
      <w:r>
        <w:rPr>
          <w:rFonts w:hint="eastAsia" w:ascii="新宋体" w:hAnsi="新宋体" w:eastAsia="新宋体" w:cs="新宋体"/>
          <w:bCs/>
          <w:color w:val="auto"/>
          <w:kern w:val="0"/>
          <w:sz w:val="22"/>
          <w:szCs w:val="22"/>
          <w:highlight w:val="none"/>
        </w:rPr>
        <w:t>月</w:t>
      </w:r>
      <w:r>
        <w:rPr>
          <w:rFonts w:hint="eastAsia" w:ascii="新宋体" w:hAnsi="新宋体" w:eastAsia="新宋体" w:cs="新宋体"/>
          <w:bCs/>
          <w:color w:val="auto"/>
          <w:kern w:val="0"/>
          <w:sz w:val="22"/>
          <w:szCs w:val="22"/>
          <w:highlight w:val="none"/>
          <w:lang w:val="en-US" w:eastAsia="zh-CN"/>
        </w:rPr>
        <w:t>30</w:t>
      </w:r>
      <w:r>
        <w:rPr>
          <w:rFonts w:hint="eastAsia" w:ascii="新宋体" w:hAnsi="新宋体" w:eastAsia="新宋体" w:cs="新宋体"/>
          <w:bCs/>
          <w:color w:val="auto"/>
          <w:kern w:val="0"/>
          <w:sz w:val="22"/>
          <w:szCs w:val="22"/>
          <w:highlight w:val="none"/>
        </w:rPr>
        <w:t>日14时30分(北京时间)。</w:t>
      </w:r>
    </w:p>
    <w:p>
      <w:pPr>
        <w:widowControl/>
        <w:spacing w:before="60" w:after="60" w:line="360" w:lineRule="auto"/>
        <w:ind w:left="600" w:leftChars="29" w:right="60" w:hanging="539" w:hangingChars="245"/>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七、投标文件提交地点：温州市鹿城区瓯江路展银大厦1楼1号会议室。</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八、开标时间：</w:t>
      </w:r>
      <w:bookmarkStart w:id="21" w:name="B26_谈判时间日期"/>
      <w:bookmarkEnd w:id="21"/>
      <w:r>
        <w:rPr>
          <w:rFonts w:hint="eastAsia" w:ascii="新宋体" w:hAnsi="新宋体" w:eastAsia="新宋体" w:cs="新宋体"/>
          <w:bCs/>
          <w:color w:val="auto"/>
          <w:kern w:val="0"/>
          <w:sz w:val="22"/>
          <w:szCs w:val="22"/>
          <w:highlight w:val="none"/>
        </w:rPr>
        <w:t>同投标截止时间。</w:t>
      </w:r>
    </w:p>
    <w:p>
      <w:pPr>
        <w:widowControl/>
        <w:spacing w:before="60" w:after="60" w:line="360" w:lineRule="auto"/>
        <w:ind w:left="600" w:leftChars="29" w:right="60" w:hanging="539" w:hangingChars="245"/>
        <w:jc w:val="left"/>
        <w:rPr>
          <w:rFonts w:ascii="新宋体" w:hAnsi="新宋体" w:eastAsia="新宋体" w:cs="新宋体"/>
          <w:color w:val="auto"/>
          <w:sz w:val="22"/>
          <w:szCs w:val="22"/>
          <w:highlight w:val="none"/>
          <w:shd w:val="clear" w:color="auto" w:fill="FFFFFF"/>
        </w:rPr>
      </w:pPr>
      <w:r>
        <w:rPr>
          <w:rFonts w:hint="eastAsia" w:ascii="新宋体" w:hAnsi="新宋体" w:eastAsia="新宋体" w:cs="新宋体"/>
          <w:bCs/>
          <w:color w:val="auto"/>
          <w:kern w:val="0"/>
          <w:sz w:val="22"/>
          <w:szCs w:val="22"/>
          <w:highlight w:val="none"/>
        </w:rPr>
        <w:t>九、开标地点：</w:t>
      </w:r>
      <w:r>
        <w:rPr>
          <w:rFonts w:hint="eastAsia" w:ascii="新宋体" w:hAnsi="新宋体" w:eastAsia="新宋体" w:cs="新宋体"/>
          <w:color w:val="auto"/>
          <w:kern w:val="0"/>
          <w:sz w:val="22"/>
          <w:szCs w:val="22"/>
          <w:highlight w:val="none"/>
        </w:rPr>
        <w:t>温州市鹿城区瓯江路展银大厦1楼1号会议室</w:t>
      </w:r>
      <w:r>
        <w:rPr>
          <w:rFonts w:hint="eastAsia" w:ascii="新宋体" w:hAnsi="新宋体" w:eastAsia="新宋体" w:cs="新宋体"/>
          <w:color w:val="auto"/>
          <w:sz w:val="22"/>
          <w:szCs w:val="22"/>
          <w:highlight w:val="none"/>
          <w:shd w:val="clear" w:color="auto" w:fill="FFFFFF"/>
        </w:rPr>
        <w:t>。</w:t>
      </w:r>
    </w:p>
    <w:p>
      <w:pPr>
        <w:widowControl/>
        <w:spacing w:before="60" w:after="60" w:line="360" w:lineRule="auto"/>
        <w:ind w:left="60" w:right="6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十、投标保证金及交付方式：</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bookmarkStart w:id="22" w:name="B29_谈判保证金"/>
      <w:bookmarkEnd w:id="22"/>
      <w:r>
        <w:rPr>
          <w:rFonts w:hint="eastAsia" w:ascii="新宋体" w:hAnsi="新宋体" w:eastAsia="新宋体" w:cs="新宋体"/>
          <w:bCs/>
          <w:color w:val="auto"/>
          <w:kern w:val="0"/>
          <w:sz w:val="22"/>
          <w:szCs w:val="22"/>
          <w:highlight w:val="none"/>
        </w:rPr>
        <w:t>投标保证金金额：</w:t>
      </w:r>
      <w:r>
        <w:rPr>
          <w:rFonts w:hint="eastAsia" w:ascii="新宋体" w:hAnsi="新宋体" w:eastAsia="新宋体" w:cs="新宋体"/>
          <w:b/>
          <w:bCs w:val="0"/>
          <w:color w:val="auto"/>
          <w:kern w:val="0"/>
          <w:sz w:val="22"/>
          <w:szCs w:val="22"/>
          <w:highlight w:val="none"/>
        </w:rPr>
        <w:t>人民币捌仟元整。</w:t>
      </w:r>
      <w:r>
        <w:rPr>
          <w:rFonts w:hint="eastAsia" w:ascii="新宋体" w:hAnsi="新宋体" w:eastAsia="新宋体" w:cs="新宋体"/>
          <w:bCs/>
          <w:color w:val="auto"/>
          <w:kern w:val="0"/>
          <w:sz w:val="22"/>
          <w:szCs w:val="22"/>
          <w:highlight w:val="none"/>
        </w:rPr>
        <w:t>投标人须在投标截止时间前将投标保证金以银行转帐形式缴纳至指定账号,</w:t>
      </w:r>
      <w:r>
        <w:rPr>
          <w:rFonts w:hint="eastAsia" w:ascii="新宋体" w:hAnsi="新宋体" w:eastAsia="新宋体" w:cs="新宋体"/>
          <w:b/>
          <w:color w:val="auto"/>
          <w:kern w:val="0"/>
          <w:sz w:val="22"/>
          <w:szCs w:val="22"/>
          <w:highlight w:val="none"/>
        </w:rPr>
        <w:t>纸质汇款凭证随同投标文件一并提交给采购代理机构</w:t>
      </w:r>
      <w:r>
        <w:rPr>
          <w:rFonts w:hint="eastAsia" w:ascii="新宋体" w:hAnsi="新宋体" w:eastAsia="新宋体" w:cs="新宋体"/>
          <w:bCs/>
          <w:color w:val="auto"/>
          <w:kern w:val="0"/>
          <w:sz w:val="22"/>
          <w:szCs w:val="22"/>
          <w:highlight w:val="none"/>
        </w:rPr>
        <w:t>。</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帐户名称：浙江省成套招标代理有限公司</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开户银行：中信银行杭州西湖支行</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帐号：7331610182600126385</w:t>
      </w:r>
    </w:p>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十一、其他事项：</w:t>
      </w:r>
    </w:p>
    <w:p>
      <w:pPr>
        <w:widowControl/>
        <w:spacing w:before="60" w:after="60" w:line="360" w:lineRule="auto"/>
        <w:ind w:left="62" w:right="62" w:firstLine="442" w:firstLineChars="20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1、获取采购文件提交的文件资料：</w:t>
      </w:r>
    </w:p>
    <w:p>
      <w:pPr>
        <w:widowControl/>
        <w:spacing w:line="360" w:lineRule="auto"/>
        <w:ind w:right="60" w:firstLine="663" w:firstLineChars="30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1） 投标报名申请表(请下载打印填写，加盖公章,见公告附件)；</w:t>
      </w:r>
    </w:p>
    <w:p>
      <w:pPr>
        <w:widowControl/>
        <w:spacing w:line="360" w:lineRule="auto"/>
        <w:ind w:right="6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 xml:space="preserve">      2）报名单位介绍信或授权书；</w:t>
      </w:r>
    </w:p>
    <w:p>
      <w:pPr>
        <w:widowControl/>
        <w:spacing w:line="360" w:lineRule="auto"/>
        <w:ind w:right="6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 xml:space="preserve">      3）有效的法人营业执照（复制件加盖公章）。</w:t>
      </w:r>
    </w:p>
    <w:p>
      <w:pPr>
        <w:widowControl/>
        <w:spacing w:line="360" w:lineRule="auto"/>
        <w:ind w:firstLine="442" w:firstLineChars="200"/>
        <w:jc w:val="left"/>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注：将以上书面资料扫描发送至采购代理机构邮箱：53514766@QQ.com，同时将报名费转账至采购代理机构支付宝账户：53514766@QQ.com，转账时注明投标单位名称。本项目不接受现场报名。</w:t>
      </w:r>
    </w:p>
    <w:p>
      <w:pPr>
        <w:widowControl/>
        <w:spacing w:before="60" w:after="60" w:line="360" w:lineRule="auto"/>
        <w:ind w:left="62" w:right="62" w:firstLine="442" w:firstLineChars="200"/>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2、采购公告期限：5个工作日，从公告在浙江政府采购网上发布的次日起算；</w:t>
      </w:r>
    </w:p>
    <w:p>
      <w:pPr>
        <w:widowControl/>
        <w:spacing w:before="60" w:after="60" w:line="360" w:lineRule="auto"/>
        <w:ind w:left="62" w:right="62" w:firstLine="440" w:firstLineChars="200"/>
        <w:jc w:val="left"/>
        <w:rPr>
          <w:rFonts w:ascii="新宋体" w:hAnsi="新宋体" w:eastAsia="新宋体" w:cs="新宋体"/>
          <w:bCs/>
          <w:color w:val="auto"/>
          <w:kern w:val="0"/>
          <w:sz w:val="22"/>
          <w:szCs w:val="22"/>
          <w:highlight w:val="none"/>
        </w:rPr>
      </w:pPr>
      <w:bookmarkStart w:id="23" w:name="_Hlk3382472"/>
      <w:r>
        <w:rPr>
          <w:rFonts w:hint="eastAsia" w:ascii="新宋体" w:hAnsi="新宋体" w:eastAsia="新宋体" w:cs="新宋体"/>
          <w:bCs/>
          <w:color w:val="auto"/>
          <w:kern w:val="0"/>
          <w:sz w:val="22"/>
          <w:szCs w:val="22"/>
          <w:highlight w:val="none"/>
        </w:rPr>
        <w:t>3、</w:t>
      </w:r>
      <w:r>
        <w:rPr>
          <w:rFonts w:hint="eastAsia" w:ascii="新宋体" w:hAnsi="新宋体" w:eastAsia="新宋体" w:cs="新宋体"/>
          <w:b/>
          <w:color w:val="auto"/>
          <w:kern w:val="0"/>
          <w:sz w:val="22"/>
          <w:szCs w:val="22"/>
          <w:highlight w:val="none"/>
          <w:u w:val="single"/>
        </w:rPr>
        <w:t>供应商认为采购文件使自己的权益受到损害的，可以自收到采购文件之日（发售截止日之后收到采购文件的，以发售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15个工作日内向采购人的采购监督管理部门投诉</w:t>
      </w:r>
      <w:r>
        <w:rPr>
          <w:rFonts w:hint="eastAsia" w:ascii="新宋体" w:hAnsi="新宋体" w:eastAsia="新宋体" w:cs="新宋体"/>
          <w:b/>
          <w:color w:val="auto"/>
          <w:kern w:val="0"/>
          <w:sz w:val="22"/>
          <w:szCs w:val="22"/>
          <w:highlight w:val="none"/>
        </w:rPr>
        <w:t>。</w:t>
      </w:r>
    </w:p>
    <w:p>
      <w:pPr>
        <w:widowControl/>
        <w:spacing w:line="360" w:lineRule="auto"/>
        <w:ind w:left="62" w:right="62" w:firstLine="440" w:firstLineChars="200"/>
        <w:jc w:val="left"/>
        <w:rPr>
          <w:rFonts w:ascii="新宋体" w:hAnsi="新宋体" w:eastAsia="新宋体" w:cs="新宋体"/>
          <w:bCs/>
          <w:color w:val="auto"/>
          <w:kern w:val="0"/>
          <w:sz w:val="22"/>
          <w:szCs w:val="22"/>
          <w:highlight w:val="none"/>
        </w:rPr>
      </w:pPr>
      <w:bookmarkStart w:id="24" w:name="B38_其他事项"/>
      <w:r>
        <w:rPr>
          <w:rFonts w:hint="eastAsia" w:ascii="新宋体" w:hAnsi="新宋体" w:eastAsia="新宋体" w:cs="新宋体"/>
          <w:bCs/>
          <w:color w:val="auto"/>
          <w:kern w:val="0"/>
          <w:sz w:val="22"/>
          <w:szCs w:val="22"/>
          <w:highlight w:val="none"/>
        </w:rPr>
        <w:t>4、</w:t>
      </w:r>
      <w:r>
        <w:rPr>
          <w:rFonts w:hint="eastAsia" w:ascii="新宋体" w:hAnsi="新宋体" w:eastAsia="新宋体" w:cs="新宋体"/>
          <w:b/>
          <w:color w:val="auto"/>
          <w:kern w:val="0"/>
          <w:sz w:val="22"/>
          <w:szCs w:val="22"/>
          <w:highlight w:val="none"/>
          <w:u w:val="single"/>
        </w:rPr>
        <w:t>温州市现代服务业发展集团有限公司负责对投标人反映的企业本部及所属企业在采购活动中出现的违法违规问题进行答疑回复。投标人认为温州市现代服务业发展集团有限公司答疑回复处理结果不合法的，可以采购人或代理机构为对象依法向人民法院提起诉讼</w:t>
      </w:r>
      <w:r>
        <w:rPr>
          <w:rFonts w:hint="eastAsia" w:ascii="新宋体" w:hAnsi="新宋体" w:eastAsia="新宋体" w:cs="新宋体"/>
          <w:b/>
          <w:color w:val="auto"/>
          <w:kern w:val="0"/>
          <w:sz w:val="22"/>
          <w:szCs w:val="22"/>
          <w:highlight w:val="none"/>
        </w:rPr>
        <w:t>。</w:t>
      </w:r>
    </w:p>
    <w:p>
      <w:pPr>
        <w:widowControl/>
        <w:spacing w:line="360" w:lineRule="auto"/>
        <w:ind w:left="62"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5、采购公告附件的采购文件仅供阅览使用，未按照本公告规定的方式获取采购文件的潜在供应商提起的质疑采购组织机构将不予受理、答复。</w:t>
      </w:r>
    </w:p>
    <w:p>
      <w:pPr>
        <w:widowControl/>
        <w:spacing w:line="360" w:lineRule="auto"/>
        <w:ind w:left="62"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6、采购文件发售截止时间之后潜在供应商仍然可以购买采购文件，但该供应商如对采购文件有疑问应按采购文件规定的询疑截止时间前提出，逾期提出的，采购组织机构可以不予受理、答复。</w:t>
      </w:r>
    </w:p>
    <w:bookmarkEnd w:id="24"/>
    <w:p>
      <w:pPr>
        <w:widowControl/>
        <w:spacing w:before="60" w:after="60" w:line="360" w:lineRule="auto"/>
        <w:ind w:left="62"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7、书面质疑受理地点：</w:t>
      </w:r>
      <w:bookmarkStart w:id="25" w:name="_Hlk2349483"/>
      <w:r>
        <w:rPr>
          <w:rFonts w:hint="eastAsia" w:ascii="新宋体" w:hAnsi="新宋体" w:eastAsia="新宋体" w:cs="新宋体"/>
          <w:bCs/>
          <w:color w:val="auto"/>
          <w:kern w:val="0"/>
          <w:sz w:val="22"/>
          <w:szCs w:val="22"/>
          <w:highlight w:val="none"/>
        </w:rPr>
        <w:t>温州市温州大道展宏大厦2栋702室</w:t>
      </w:r>
      <w:bookmarkEnd w:id="25"/>
      <w:r>
        <w:rPr>
          <w:rFonts w:hint="eastAsia" w:ascii="新宋体" w:hAnsi="新宋体" w:eastAsia="新宋体" w:cs="新宋体"/>
          <w:bCs/>
          <w:color w:val="auto"/>
          <w:kern w:val="0"/>
          <w:sz w:val="22"/>
          <w:szCs w:val="22"/>
          <w:highlight w:val="none"/>
        </w:rPr>
        <w:t>，书面质疑联系人：肖先生，书面质疑联系电话：13606874516。</w:t>
      </w:r>
    </w:p>
    <w:bookmarkEnd w:id="23"/>
    <w:p>
      <w:pPr>
        <w:widowControl/>
        <w:spacing w:before="60" w:after="60"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十二、联系方式</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1、采购人名称：温州市名城资产营运有限公司</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联系人：钟先生 </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电话：0577-88381608</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地址：温州市南塘街南塘五组团商办楼310室</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2、采购代理机构名称：浙江省成套招标代理有限公司</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 址：温州市温州大道展宏大厦2栋702室</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联系人：邵海勇  </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电话：18967751006  </w:t>
      </w:r>
    </w:p>
    <w:p>
      <w:pPr>
        <w:widowControl/>
        <w:spacing w:line="360" w:lineRule="auto"/>
        <w:ind w:left="61" w:leftChars="29" w:right="60"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传真： 0577-86071211</w:t>
      </w:r>
    </w:p>
    <w:p>
      <w:pPr>
        <w:widowControl/>
        <w:spacing w:before="60" w:after="60" w:line="360" w:lineRule="auto"/>
        <w:ind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3、采购监督管理部门：温州市现代服务业发展集团有限公司纪检监察室</w:t>
      </w:r>
    </w:p>
    <w:p>
      <w:pPr>
        <w:widowControl/>
        <w:spacing w:before="60" w:after="60" w:line="360" w:lineRule="auto"/>
        <w:ind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联系人：何先生</w:t>
      </w:r>
    </w:p>
    <w:p>
      <w:pPr>
        <w:widowControl/>
        <w:spacing w:before="60" w:after="60" w:line="360" w:lineRule="auto"/>
        <w:ind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联系电话：0577-88160019</w:t>
      </w:r>
    </w:p>
    <w:p>
      <w:pPr>
        <w:widowControl/>
        <w:spacing w:before="60" w:after="60" w:line="360" w:lineRule="auto"/>
        <w:ind w:right="62"/>
        <w:jc w:val="left"/>
        <w:rPr>
          <w:rFonts w:ascii="新宋体" w:hAnsi="新宋体" w:eastAsia="新宋体" w:cs="新宋体"/>
          <w:bCs/>
          <w:color w:val="auto"/>
          <w:kern w:val="0"/>
          <w:sz w:val="22"/>
          <w:szCs w:val="22"/>
          <w:highlight w:val="none"/>
        </w:rPr>
      </w:pPr>
    </w:p>
    <w:p>
      <w:pPr>
        <w:widowControl/>
        <w:spacing w:line="360" w:lineRule="auto"/>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温州市名城资产营运有限公司</w:t>
      </w:r>
    </w:p>
    <w:p>
      <w:pPr>
        <w:widowControl/>
        <w:spacing w:line="360" w:lineRule="auto"/>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浙江省成套招标代理有限公司</w:t>
      </w:r>
    </w:p>
    <w:p>
      <w:pPr>
        <w:widowControl/>
        <w:spacing w:line="360" w:lineRule="auto"/>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2021年</w:t>
      </w:r>
      <w:r>
        <w:rPr>
          <w:rFonts w:hint="eastAsia" w:ascii="新宋体" w:hAnsi="新宋体" w:eastAsia="新宋体" w:cs="新宋体"/>
          <w:color w:val="auto"/>
          <w:kern w:val="0"/>
          <w:sz w:val="22"/>
          <w:szCs w:val="22"/>
          <w:highlight w:val="none"/>
          <w:lang w:val="en-US" w:eastAsia="zh-CN"/>
        </w:rPr>
        <w:t>9</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日</w:t>
      </w:r>
    </w:p>
    <w:p>
      <w:pPr>
        <w:rPr>
          <w:rFonts w:ascii="新宋体" w:hAnsi="新宋体" w:eastAsia="新宋体" w:cs="新宋体"/>
          <w:b/>
          <w:bCs/>
          <w:color w:val="auto"/>
          <w:kern w:val="0"/>
          <w:sz w:val="29"/>
          <w:szCs w:val="29"/>
          <w:highlight w:val="none"/>
        </w:rPr>
      </w:pPr>
      <w:r>
        <w:rPr>
          <w:rFonts w:hint="eastAsia" w:ascii="新宋体" w:hAnsi="新宋体" w:eastAsia="新宋体" w:cs="新宋体"/>
          <w:b/>
          <w:bCs/>
          <w:color w:val="auto"/>
          <w:kern w:val="0"/>
          <w:sz w:val="29"/>
          <w:szCs w:val="29"/>
          <w:highlight w:val="none"/>
        </w:rPr>
        <w:br w:type="page"/>
      </w:r>
    </w:p>
    <w:p>
      <w:pPr>
        <w:widowControl/>
        <w:spacing w:before="60" w:after="60" w:line="440" w:lineRule="exact"/>
        <w:ind w:left="60" w:right="60"/>
        <w:jc w:val="center"/>
        <w:rPr>
          <w:rFonts w:ascii="新宋体" w:hAnsi="新宋体" w:eastAsia="新宋体" w:cs="新宋体"/>
          <w:b/>
          <w:bCs/>
          <w:color w:val="auto"/>
          <w:kern w:val="0"/>
          <w:sz w:val="29"/>
          <w:szCs w:val="29"/>
          <w:highlight w:val="none"/>
        </w:rPr>
      </w:pPr>
      <w:r>
        <w:rPr>
          <w:rFonts w:hint="eastAsia" w:ascii="新宋体" w:hAnsi="新宋体" w:eastAsia="新宋体" w:cs="新宋体"/>
          <w:b/>
          <w:bCs/>
          <w:color w:val="auto"/>
          <w:kern w:val="0"/>
          <w:sz w:val="29"/>
          <w:szCs w:val="29"/>
          <w:highlight w:val="none"/>
        </w:rPr>
        <w:t>温州市现代服务业发展集团有限公司关于温州市名城资产营运有限公司</w:t>
      </w:r>
      <w:r>
        <w:rPr>
          <w:rFonts w:hint="eastAsia" w:ascii="新宋体" w:hAnsi="新宋体" w:eastAsia="新宋体" w:cs="新宋体"/>
          <w:b/>
          <w:bCs/>
          <w:color w:val="auto"/>
          <w:kern w:val="0"/>
          <w:sz w:val="29"/>
          <w:szCs w:val="29"/>
          <w:highlight w:val="none"/>
          <w:lang w:eastAsia="zh-CN"/>
        </w:rPr>
        <w:t>印象南塘景区花卉苗木（第二次）</w:t>
      </w:r>
      <w:r>
        <w:rPr>
          <w:rFonts w:hint="eastAsia" w:ascii="新宋体" w:hAnsi="新宋体" w:eastAsia="新宋体" w:cs="新宋体"/>
          <w:b/>
          <w:bCs/>
          <w:color w:val="auto"/>
          <w:kern w:val="0"/>
          <w:sz w:val="29"/>
          <w:szCs w:val="29"/>
          <w:highlight w:val="none"/>
        </w:rPr>
        <w:t>项目（其他类）征求意见公示</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浙江省成套招标代理有限公司</w:t>
      </w:r>
      <w:bookmarkStart w:id="26" w:name="_Hlk3383344"/>
      <w:r>
        <w:rPr>
          <w:rFonts w:hint="eastAsia" w:ascii="新宋体" w:hAnsi="新宋体" w:eastAsia="新宋体" w:cs="新宋体"/>
          <w:color w:val="auto"/>
          <w:kern w:val="0"/>
          <w:sz w:val="22"/>
          <w:szCs w:val="22"/>
          <w:highlight w:val="none"/>
        </w:rPr>
        <w:t>受温州市名城资产营运有限公司委托，</w:t>
      </w:r>
      <w:bookmarkEnd w:id="26"/>
      <w:r>
        <w:rPr>
          <w:rFonts w:hint="eastAsia" w:ascii="新宋体" w:hAnsi="新宋体" w:eastAsia="新宋体" w:cs="新宋体"/>
          <w:color w:val="auto"/>
          <w:kern w:val="0"/>
          <w:sz w:val="22"/>
          <w:szCs w:val="22"/>
          <w:highlight w:val="none"/>
        </w:rPr>
        <w:t>就</w:t>
      </w:r>
      <w:r>
        <w:rPr>
          <w:rFonts w:hint="eastAsia" w:ascii="新宋体" w:hAnsi="新宋体" w:eastAsia="新宋体" w:cs="新宋体"/>
          <w:color w:val="auto"/>
          <w:kern w:val="0"/>
          <w:sz w:val="22"/>
          <w:szCs w:val="22"/>
          <w:highlight w:val="none"/>
          <w:lang w:eastAsia="zh-CN"/>
        </w:rPr>
        <w:t>印象南塘景区花卉苗木（第二次）</w:t>
      </w:r>
      <w:r>
        <w:rPr>
          <w:rFonts w:hint="eastAsia" w:ascii="新宋体" w:hAnsi="新宋体" w:eastAsia="新宋体" w:cs="新宋体"/>
          <w:color w:val="auto"/>
          <w:sz w:val="22"/>
          <w:highlight w:val="none"/>
        </w:rPr>
        <w:t>项目</w:t>
      </w:r>
      <w:r>
        <w:rPr>
          <w:rFonts w:hint="eastAsia" w:ascii="新宋体" w:hAnsi="新宋体" w:eastAsia="新宋体" w:cs="新宋体"/>
          <w:color w:val="auto"/>
          <w:kern w:val="0"/>
          <w:sz w:val="22"/>
          <w:szCs w:val="22"/>
          <w:highlight w:val="none"/>
        </w:rPr>
        <w:t>以公开招标方式进行采购，现将该项目采购文件公布如下，并公开征求供应商及专家意见。</w:t>
      </w:r>
    </w:p>
    <w:p>
      <w:pPr>
        <w:widowControl/>
        <w:spacing w:line="440" w:lineRule="exact"/>
        <w:ind w:right="48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一、征求意见范围：</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1、是否出现明显的倾向性意见和特定的性能指标；</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2、投标人资格条件是否具有明显倾向性和歧视性；</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3、影响采购活动“公开、公平、公正”原则的其他情况。</w:t>
      </w:r>
    </w:p>
    <w:p>
      <w:pPr>
        <w:widowControl/>
        <w:spacing w:line="440" w:lineRule="exact"/>
        <w:ind w:right="48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二、征求意见的回复：</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各供应商及专家提出修改理由和建议的，请于2021年</w:t>
      </w:r>
      <w:r>
        <w:rPr>
          <w:rFonts w:hint="eastAsia" w:ascii="新宋体" w:hAnsi="新宋体" w:eastAsia="新宋体" w:cs="新宋体"/>
          <w:color w:val="auto"/>
          <w:kern w:val="0"/>
          <w:sz w:val="22"/>
          <w:szCs w:val="22"/>
          <w:highlight w:val="none"/>
          <w:lang w:val="en-US" w:eastAsia="zh-CN"/>
        </w:rPr>
        <w:t>9</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13</w:t>
      </w:r>
      <w:r>
        <w:rPr>
          <w:rFonts w:hint="eastAsia" w:ascii="新宋体" w:hAnsi="新宋体" w:eastAsia="新宋体" w:cs="新宋体"/>
          <w:color w:val="auto"/>
          <w:kern w:val="0"/>
          <w:sz w:val="22"/>
          <w:szCs w:val="22"/>
          <w:highlight w:val="none"/>
        </w:rPr>
        <w:t>日下午17 :00前将建议函（格式自拟）密封后送至浙江省成套招标代理有限公司，外地可传真（0577-86071211）送达，</w:t>
      </w:r>
      <w:r>
        <w:rPr>
          <w:rFonts w:hint="eastAsia" w:ascii="新宋体" w:hAnsi="新宋体" w:eastAsia="新宋体" w:cs="新宋体"/>
          <w:color w:val="auto"/>
          <w:sz w:val="23"/>
          <w:szCs w:val="23"/>
          <w:highlight w:val="none"/>
        </w:rPr>
        <w:t>传真件必须注明联系人及电话，并签字盖公章。同时将电子文档发送至以下信箱：</w:t>
      </w:r>
      <w:r>
        <w:rPr>
          <w:color w:val="auto"/>
          <w:highlight w:val="none"/>
        </w:rPr>
        <w:fldChar w:fldCharType="begin"/>
      </w:r>
      <w:r>
        <w:rPr>
          <w:color w:val="auto"/>
          <w:highlight w:val="none"/>
        </w:rPr>
        <w:instrText xml:space="preserve"> HYPERLINK "mailto:52040414@qq.com" </w:instrText>
      </w:r>
      <w:r>
        <w:rPr>
          <w:color w:val="auto"/>
          <w:highlight w:val="none"/>
        </w:rPr>
        <w:fldChar w:fldCharType="separate"/>
      </w:r>
      <w:r>
        <w:rPr>
          <w:rStyle w:val="36"/>
          <w:rFonts w:hint="eastAsia" w:ascii="新宋体" w:hAnsi="新宋体" w:eastAsia="新宋体" w:cs="新宋体"/>
          <w:color w:val="auto"/>
          <w:kern w:val="0"/>
          <w:sz w:val="22"/>
          <w:szCs w:val="22"/>
          <w:highlight w:val="none"/>
        </w:rPr>
        <w:t>53514766@qq.com</w:t>
      </w:r>
      <w:r>
        <w:rPr>
          <w:rStyle w:val="36"/>
          <w:rFonts w:hint="eastAsia" w:ascii="新宋体" w:hAnsi="新宋体" w:eastAsia="新宋体" w:cs="新宋体"/>
          <w:color w:val="auto"/>
          <w:kern w:val="0"/>
          <w:sz w:val="22"/>
          <w:szCs w:val="22"/>
          <w:highlight w:val="none"/>
        </w:rPr>
        <w:fldChar w:fldCharType="end"/>
      </w:r>
      <w:r>
        <w:rPr>
          <w:rFonts w:hint="eastAsia" w:ascii="新宋体" w:hAnsi="新宋体" w:eastAsia="新宋体" w:cs="新宋体"/>
          <w:color w:val="auto"/>
          <w:kern w:val="0"/>
          <w:sz w:val="22"/>
          <w:szCs w:val="22"/>
          <w:highlight w:val="none"/>
        </w:rPr>
        <w:t xml:space="preserve">。 </w:t>
      </w:r>
    </w:p>
    <w:p>
      <w:pPr>
        <w:widowControl/>
        <w:spacing w:line="440" w:lineRule="exact"/>
        <w:ind w:right="48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三、联系人：邵先生</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联系电话：18967751006</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联系地址：温州市温州大道展宏大厦2栋702室</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对逾期送达的意见、建议书恕不接受。</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附：采购文件</w:t>
      </w:r>
    </w:p>
    <w:p>
      <w:pPr>
        <w:widowControl/>
        <w:spacing w:line="440" w:lineRule="exact"/>
        <w:ind w:right="480" w:firstLine="6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p>
      <w:pPr>
        <w:widowControl/>
        <w:spacing w:line="440" w:lineRule="exact"/>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p>
      <w:pPr>
        <w:widowControl/>
        <w:spacing w:line="440" w:lineRule="exact"/>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温州市名城资产营运有限公司</w:t>
      </w:r>
    </w:p>
    <w:p>
      <w:pPr>
        <w:widowControl/>
        <w:spacing w:line="440" w:lineRule="exact"/>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浙江省成套招标代理有限公司</w:t>
      </w:r>
    </w:p>
    <w:p>
      <w:pPr>
        <w:widowControl/>
        <w:spacing w:line="440" w:lineRule="exact"/>
        <w:ind w:right="480"/>
        <w:jc w:val="righ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2021年</w:t>
      </w:r>
      <w:r>
        <w:rPr>
          <w:rFonts w:hint="eastAsia" w:ascii="新宋体" w:hAnsi="新宋体" w:eastAsia="新宋体" w:cs="新宋体"/>
          <w:color w:val="auto"/>
          <w:kern w:val="0"/>
          <w:sz w:val="22"/>
          <w:szCs w:val="22"/>
          <w:highlight w:val="none"/>
          <w:lang w:val="en-US" w:eastAsia="zh-CN"/>
        </w:rPr>
        <w:t>9</w:t>
      </w:r>
      <w:r>
        <w:rPr>
          <w:rFonts w:hint="eastAsia" w:ascii="新宋体" w:hAnsi="新宋体" w:eastAsia="新宋体" w:cs="新宋体"/>
          <w:color w:val="auto"/>
          <w:kern w:val="0"/>
          <w:sz w:val="22"/>
          <w:szCs w:val="22"/>
          <w:highlight w:val="none"/>
        </w:rPr>
        <w:t>月</w:t>
      </w:r>
      <w:r>
        <w:rPr>
          <w:rFonts w:hint="eastAsia" w:ascii="新宋体" w:hAnsi="新宋体" w:eastAsia="新宋体" w:cs="新宋体"/>
          <w:color w:val="auto"/>
          <w:kern w:val="0"/>
          <w:sz w:val="22"/>
          <w:szCs w:val="22"/>
          <w:highlight w:val="none"/>
          <w:lang w:val="en-US" w:eastAsia="zh-CN"/>
        </w:rPr>
        <w:t>8</w:t>
      </w:r>
      <w:r>
        <w:rPr>
          <w:rFonts w:hint="eastAsia" w:ascii="新宋体" w:hAnsi="新宋体" w:eastAsia="新宋体" w:cs="新宋体"/>
          <w:color w:val="auto"/>
          <w:kern w:val="0"/>
          <w:sz w:val="22"/>
          <w:szCs w:val="22"/>
          <w:highlight w:val="none"/>
        </w:rPr>
        <w:t>日</w:t>
      </w:r>
    </w:p>
    <w:p>
      <w:pPr>
        <w:widowControl/>
        <w:spacing w:before="60" w:after="60" w:line="400" w:lineRule="exact"/>
        <w:ind w:right="62"/>
        <w:jc w:val="center"/>
        <w:rPr>
          <w:rFonts w:ascii="新宋体" w:hAnsi="新宋体" w:eastAsia="新宋体" w:cs="新宋体"/>
          <w:color w:val="auto"/>
          <w:sz w:val="36"/>
          <w:highlight w:val="none"/>
        </w:rPr>
      </w:pPr>
    </w:p>
    <w:p>
      <w:pPr>
        <w:widowControl/>
        <w:spacing w:before="60" w:after="60" w:line="400" w:lineRule="exact"/>
        <w:ind w:right="62"/>
        <w:jc w:val="center"/>
        <w:rPr>
          <w:rFonts w:ascii="新宋体" w:hAnsi="新宋体" w:eastAsia="新宋体" w:cs="新宋体"/>
          <w:b/>
          <w:bCs/>
          <w:color w:val="auto"/>
          <w:sz w:val="36"/>
          <w:highlight w:val="none"/>
        </w:rPr>
      </w:pPr>
    </w:p>
    <w:p>
      <w:pPr>
        <w:widowControl/>
        <w:spacing w:before="60" w:after="60" w:line="400" w:lineRule="exact"/>
        <w:ind w:right="62"/>
        <w:jc w:val="center"/>
        <w:rPr>
          <w:rFonts w:ascii="新宋体" w:hAnsi="新宋体" w:eastAsia="新宋体" w:cs="新宋体"/>
          <w:b/>
          <w:bCs/>
          <w:color w:val="auto"/>
          <w:sz w:val="36"/>
          <w:highlight w:val="none"/>
        </w:rPr>
      </w:pPr>
    </w:p>
    <w:p>
      <w:pPr>
        <w:widowControl/>
        <w:spacing w:before="60" w:after="60" w:line="400" w:lineRule="exact"/>
        <w:ind w:right="62"/>
        <w:jc w:val="center"/>
        <w:rPr>
          <w:rFonts w:ascii="新宋体" w:hAnsi="新宋体" w:eastAsia="新宋体" w:cs="新宋体"/>
          <w:b/>
          <w:bCs/>
          <w:color w:val="auto"/>
          <w:sz w:val="36"/>
          <w:highlight w:val="none"/>
        </w:rPr>
      </w:pPr>
    </w:p>
    <w:p>
      <w:pPr>
        <w:widowControl/>
        <w:spacing w:before="60" w:after="60" w:line="400" w:lineRule="exact"/>
        <w:ind w:right="62"/>
        <w:jc w:val="center"/>
        <w:rPr>
          <w:rFonts w:ascii="新宋体" w:hAnsi="新宋体" w:eastAsia="新宋体" w:cs="新宋体"/>
          <w:b/>
          <w:bCs/>
          <w:color w:val="auto"/>
          <w:sz w:val="36"/>
          <w:highlight w:val="none"/>
        </w:rPr>
      </w:pPr>
    </w:p>
    <w:p>
      <w:pPr>
        <w:rPr>
          <w:rFonts w:ascii="新宋体" w:hAnsi="新宋体" w:eastAsia="新宋体" w:cs="新宋体"/>
          <w:b/>
          <w:bCs/>
          <w:color w:val="auto"/>
          <w:sz w:val="36"/>
          <w:highlight w:val="none"/>
        </w:rPr>
      </w:pPr>
      <w:r>
        <w:rPr>
          <w:rFonts w:hint="eastAsia" w:ascii="新宋体" w:hAnsi="新宋体" w:eastAsia="新宋体" w:cs="新宋体"/>
          <w:b/>
          <w:bCs/>
          <w:color w:val="auto"/>
          <w:sz w:val="36"/>
          <w:highlight w:val="none"/>
        </w:rPr>
        <w:br w:type="page"/>
      </w:r>
    </w:p>
    <w:p>
      <w:pPr>
        <w:widowControl/>
        <w:spacing w:before="60" w:after="60" w:line="400" w:lineRule="exact"/>
        <w:ind w:right="62"/>
        <w:jc w:val="center"/>
        <w:rPr>
          <w:rFonts w:ascii="新宋体" w:hAnsi="新宋体" w:eastAsia="新宋体" w:cs="新宋体"/>
          <w:b/>
          <w:bCs/>
          <w:color w:val="auto"/>
          <w:kern w:val="0"/>
          <w:sz w:val="22"/>
          <w:szCs w:val="22"/>
          <w:highlight w:val="none"/>
        </w:rPr>
      </w:pPr>
      <w:r>
        <w:rPr>
          <w:rFonts w:hint="eastAsia" w:ascii="新宋体" w:hAnsi="新宋体" w:eastAsia="新宋体" w:cs="新宋体"/>
          <w:b/>
          <w:bCs/>
          <w:color w:val="auto"/>
          <w:sz w:val="36"/>
          <w:highlight w:val="none"/>
        </w:rPr>
        <w:t>投标人须知前附表</w:t>
      </w:r>
      <w:bookmarkEnd w:id="3"/>
      <w:bookmarkEnd w:id="4"/>
      <w:bookmarkEnd w:id="5"/>
      <w:bookmarkEnd w:id="6"/>
      <w:bookmarkEnd w:id="7"/>
      <w:bookmarkEnd w:id="8"/>
      <w:bookmarkEnd w:id="9"/>
      <w:bookmarkEnd w:id="10"/>
      <w:bookmarkEnd w:id="11"/>
      <w:bookmarkEnd w:id="12"/>
      <w:bookmarkEnd w:id="13"/>
      <w:bookmarkEnd w:id="14"/>
      <w:bookmarkEnd w:id="15"/>
      <w:bookmarkEnd w:id="16"/>
    </w:p>
    <w:tbl>
      <w:tblPr>
        <w:tblStyle w:val="30"/>
        <w:tblW w:w="9854" w:type="dxa"/>
        <w:tblInd w:w="0" w:type="dxa"/>
        <w:tblLayout w:type="fixed"/>
        <w:tblCellMar>
          <w:top w:w="0" w:type="dxa"/>
          <w:left w:w="108" w:type="dxa"/>
          <w:bottom w:w="0" w:type="dxa"/>
          <w:right w:w="108" w:type="dxa"/>
        </w:tblCellMar>
      </w:tblPr>
      <w:tblGrid>
        <w:gridCol w:w="1048"/>
        <w:gridCol w:w="1687"/>
        <w:gridCol w:w="7119"/>
      </w:tblGrid>
      <w:tr>
        <w:tblPrEx>
          <w:tblCellMar>
            <w:top w:w="0" w:type="dxa"/>
            <w:left w:w="108" w:type="dxa"/>
            <w:bottom w:w="0" w:type="dxa"/>
            <w:right w:w="108" w:type="dxa"/>
          </w:tblCellMar>
        </w:tblPrEx>
        <w:trPr>
          <w:trHeight w:val="567"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编列内容</w:t>
            </w:r>
          </w:p>
        </w:tc>
      </w:tr>
      <w:tr>
        <w:tblPrEx>
          <w:tblCellMar>
            <w:top w:w="0" w:type="dxa"/>
            <w:left w:w="108" w:type="dxa"/>
            <w:bottom w:w="0" w:type="dxa"/>
            <w:right w:w="108" w:type="dxa"/>
          </w:tblCellMar>
        </w:tblPrEx>
        <w:trPr>
          <w:trHeight w:val="107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采购人名称： 温州市名城资产营运有限公司</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联系人：钟先生 </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联系电话：0577-88381608</w:t>
            </w:r>
          </w:p>
          <w:p>
            <w:pPr>
              <w:spacing w:line="300" w:lineRule="exact"/>
              <w:rPr>
                <w:rFonts w:ascii="新宋体" w:hAnsi="新宋体" w:eastAsia="新宋体" w:cs="新宋体"/>
                <w:color w:val="auto"/>
                <w:highlight w:val="none"/>
              </w:rPr>
            </w:pPr>
            <w:r>
              <w:rPr>
                <w:rFonts w:hint="eastAsia" w:ascii="新宋体" w:hAnsi="新宋体" w:eastAsia="新宋体" w:cs="新宋体"/>
                <w:color w:val="auto"/>
                <w:kern w:val="0"/>
                <w:sz w:val="22"/>
                <w:szCs w:val="22"/>
                <w:highlight w:val="none"/>
              </w:rPr>
              <w:t>地址：温州市南塘街南塘五组团商办楼310室</w:t>
            </w:r>
          </w:p>
        </w:tc>
      </w:tr>
      <w:tr>
        <w:tblPrEx>
          <w:tblCellMar>
            <w:top w:w="0" w:type="dxa"/>
            <w:left w:w="108" w:type="dxa"/>
            <w:bottom w:w="0" w:type="dxa"/>
            <w:right w:w="108" w:type="dxa"/>
          </w:tblCellMar>
        </w:tblPrEx>
        <w:trPr>
          <w:trHeight w:val="112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代理机构名称：浙江省成套招标代理有限公司</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项目经办人：邵海勇</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联系电话：18967751006</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地址：温州市温州大道展宏大厦2栋702室</w:t>
            </w:r>
          </w:p>
        </w:tc>
      </w:tr>
      <w:tr>
        <w:tblPrEx>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项目名称</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spacing w:val="30"/>
                <w:sz w:val="22"/>
                <w:szCs w:val="22"/>
                <w:highlight w:val="none"/>
                <w:lang w:eastAsia="zh-CN"/>
              </w:rPr>
              <w:t>印象南塘景区花卉苗木（第二次）</w:t>
            </w:r>
          </w:p>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color w:val="auto"/>
                <w:spacing w:val="40"/>
                <w:sz w:val="22"/>
                <w:szCs w:val="22"/>
                <w:highlight w:val="none"/>
              </w:rPr>
              <w:t>项目编号</w:t>
            </w:r>
            <w:r>
              <w:rPr>
                <w:rFonts w:hint="eastAsia" w:ascii="新宋体" w:hAnsi="新宋体" w:eastAsia="新宋体" w:cs="新宋体"/>
                <w:color w:val="auto"/>
                <w:sz w:val="22"/>
                <w:szCs w:val="22"/>
                <w:highlight w:val="none"/>
              </w:rPr>
              <w:t xml:space="preserve">： </w:t>
            </w:r>
            <w:r>
              <w:rPr>
                <w:rFonts w:ascii="新宋体" w:hAnsi="新宋体" w:eastAsia="新宋体" w:cs="新宋体"/>
                <w:color w:val="auto"/>
                <w:sz w:val="22"/>
                <w:szCs w:val="22"/>
                <w:highlight w:val="none"/>
              </w:rPr>
              <w:t>XCQT-MC-2021-056</w:t>
            </w:r>
          </w:p>
        </w:tc>
      </w:tr>
      <w:tr>
        <w:tblPrEx>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采购内容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b/>
                <w:bCs/>
                <w:color w:val="auto"/>
                <w:kern w:val="0"/>
                <w:sz w:val="22"/>
                <w:szCs w:val="22"/>
                <w:highlight w:val="none"/>
              </w:rPr>
            </w:pPr>
            <w:r>
              <w:rPr>
                <w:rFonts w:hint="eastAsia" w:ascii="新宋体" w:hAnsi="新宋体" w:eastAsia="新宋体" w:cs="新宋体"/>
                <w:color w:val="auto"/>
                <w:kern w:val="0"/>
                <w:sz w:val="22"/>
                <w:szCs w:val="22"/>
                <w:highlight w:val="none"/>
              </w:rPr>
              <w:t>详见采购文件第四部分。</w:t>
            </w:r>
          </w:p>
        </w:tc>
      </w:tr>
      <w:tr>
        <w:tblPrEx>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投标人资格要求</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详见采购公告</w:t>
            </w:r>
          </w:p>
        </w:tc>
      </w:tr>
      <w:tr>
        <w:tblPrEx>
          <w:tblCellMar>
            <w:top w:w="0" w:type="dxa"/>
            <w:left w:w="108" w:type="dxa"/>
            <w:bottom w:w="0" w:type="dxa"/>
            <w:right w:w="108" w:type="dxa"/>
          </w:tblCellMar>
        </w:tblPrEx>
        <w:trPr>
          <w:trHeight w:val="75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相关公告指定发布媒介</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温州国企采购平台及浙江政府采购网。</w:t>
            </w:r>
          </w:p>
        </w:tc>
      </w:tr>
      <w:tr>
        <w:tblPrEx>
          <w:tblCellMar>
            <w:top w:w="0" w:type="dxa"/>
            <w:left w:w="108" w:type="dxa"/>
            <w:bottom w:w="0" w:type="dxa"/>
            <w:right w:w="108" w:type="dxa"/>
          </w:tblCellMar>
        </w:tblPrEx>
        <w:trPr>
          <w:trHeight w:val="769"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不接受</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□接受</w:t>
            </w:r>
          </w:p>
        </w:tc>
      </w:tr>
      <w:tr>
        <w:tblPrEx>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□组织</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不组织</w:t>
            </w:r>
          </w:p>
        </w:tc>
      </w:tr>
      <w:tr>
        <w:tblPrEx>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□召开</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不召开</w:t>
            </w:r>
          </w:p>
        </w:tc>
      </w:tr>
      <w:tr>
        <w:tblPrEx>
          <w:tblCellMar>
            <w:top w:w="0" w:type="dxa"/>
            <w:left w:w="108" w:type="dxa"/>
            <w:bottom w:w="0" w:type="dxa"/>
            <w:right w:w="108" w:type="dxa"/>
          </w:tblCellMar>
        </w:tblPrEx>
        <w:trPr>
          <w:trHeight w:val="538"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投标截止时间</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lang w:eastAsia="zh-CN"/>
              </w:rPr>
              <w:t>2021年9月30日14时30分</w:t>
            </w:r>
            <w:r>
              <w:rPr>
                <w:rFonts w:hint="eastAsia" w:ascii="新宋体" w:hAnsi="新宋体" w:eastAsia="新宋体" w:cs="新宋体"/>
                <w:color w:val="auto"/>
                <w:kern w:val="0"/>
                <w:sz w:val="22"/>
                <w:szCs w:val="22"/>
                <w:highlight w:val="none"/>
              </w:rPr>
              <w:t>（北京时间）</w:t>
            </w:r>
          </w:p>
        </w:tc>
      </w:tr>
      <w:tr>
        <w:tblPrEx>
          <w:tblCellMar>
            <w:top w:w="0" w:type="dxa"/>
            <w:left w:w="108" w:type="dxa"/>
            <w:bottom w:w="0" w:type="dxa"/>
            <w:right w:w="108" w:type="dxa"/>
          </w:tblCellMar>
        </w:tblPrEx>
        <w:trPr>
          <w:trHeight w:val="637"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分包</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□允许</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不允许</w:t>
            </w:r>
          </w:p>
        </w:tc>
      </w:tr>
      <w:tr>
        <w:tblPrEx>
          <w:tblCellMar>
            <w:top w:w="0" w:type="dxa"/>
            <w:left w:w="108" w:type="dxa"/>
            <w:bottom w:w="0" w:type="dxa"/>
            <w:right w:w="108" w:type="dxa"/>
          </w:tblCellMar>
        </w:tblPrEx>
        <w:trPr>
          <w:trHeight w:val="73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偏差允许幅度及其处理方法：允许细微偏差，不允许重大偏差。由评标委员会判断，细微偏差要求投标人在评标结束前予以澄清、说明或补正，不接受要求进行的，评标委员会有权做无效标处理，详见条款“23.</w:t>
            </w:r>
            <w:r>
              <w:rPr>
                <w:rFonts w:hint="eastAsia" w:ascii="新宋体" w:hAnsi="新宋体" w:eastAsia="新宋体" w:cs="新宋体"/>
                <w:color w:val="auto"/>
                <w:sz w:val="22"/>
                <w:szCs w:val="22"/>
                <w:highlight w:val="none"/>
              </w:rPr>
              <w:t>投标文件的澄清</w:t>
            </w:r>
            <w:r>
              <w:rPr>
                <w:rFonts w:hint="eastAsia" w:ascii="新宋体" w:hAnsi="新宋体" w:eastAsia="新宋体" w:cs="新宋体"/>
                <w:color w:val="auto"/>
                <w:kern w:val="0"/>
                <w:sz w:val="22"/>
                <w:szCs w:val="22"/>
                <w:highlight w:val="none"/>
              </w:rPr>
              <w:t>。”</w:t>
            </w:r>
          </w:p>
        </w:tc>
      </w:tr>
      <w:tr>
        <w:tblPrEx>
          <w:tblCellMar>
            <w:top w:w="0" w:type="dxa"/>
            <w:left w:w="108" w:type="dxa"/>
            <w:bottom w:w="0" w:type="dxa"/>
            <w:right w:w="108" w:type="dxa"/>
          </w:tblCellMar>
        </w:tblPrEx>
        <w:trPr>
          <w:trHeight w:val="67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投标文件自投标截止时间起生效，有效期90天。</w:t>
            </w:r>
          </w:p>
        </w:tc>
      </w:tr>
      <w:tr>
        <w:tblPrEx>
          <w:tblCellMar>
            <w:top w:w="0" w:type="dxa"/>
            <w:left w:w="108" w:type="dxa"/>
            <w:bottom w:w="0" w:type="dxa"/>
            <w:right w:w="108" w:type="dxa"/>
          </w:tblCellMar>
        </w:tblPrEx>
        <w:trPr>
          <w:trHeight w:val="554"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见采购公告内容</w:t>
            </w:r>
          </w:p>
        </w:tc>
      </w:tr>
      <w:tr>
        <w:tblPrEx>
          <w:tblCellMar>
            <w:top w:w="0" w:type="dxa"/>
            <w:left w:w="108" w:type="dxa"/>
            <w:bottom w:w="0" w:type="dxa"/>
            <w:right w:w="108" w:type="dxa"/>
          </w:tblCellMar>
        </w:tblPrEx>
        <w:trPr>
          <w:trHeight w:val="836"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投标文件份数</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技术资信标一式六份，正本一份，副本五份。</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商务（报价）标一式六份，正本一份，副本五份。</w:t>
            </w:r>
          </w:p>
        </w:tc>
      </w:tr>
      <w:tr>
        <w:tblPrEx>
          <w:tblCellMar>
            <w:top w:w="0" w:type="dxa"/>
            <w:left w:w="108" w:type="dxa"/>
            <w:bottom w:w="0" w:type="dxa"/>
            <w:right w:w="108" w:type="dxa"/>
          </w:tblCellMar>
        </w:tblPrEx>
        <w:trPr>
          <w:trHeight w:val="452"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包装要求</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投标文件技术资信标、商务（报价）标分别密封于包封袋中，并在封套的封口处加盖投标人单位公章或由法定代表人（法定负责人）或其授权代表签字（或盖章）。</w:t>
            </w:r>
          </w:p>
        </w:tc>
      </w:tr>
      <w:tr>
        <w:tblPrEx>
          <w:tblCellMar>
            <w:top w:w="0" w:type="dxa"/>
            <w:left w:w="108" w:type="dxa"/>
            <w:bottom w:w="0" w:type="dxa"/>
            <w:right w:w="108" w:type="dxa"/>
          </w:tblCellMar>
        </w:tblPrEx>
        <w:trPr>
          <w:trHeight w:val="7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递交投标</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温州市鹿城区瓯江路展银大厦1楼1号会议室</w:t>
            </w:r>
          </w:p>
        </w:tc>
      </w:tr>
      <w:tr>
        <w:tblPrEx>
          <w:tblCellMar>
            <w:top w:w="0" w:type="dxa"/>
            <w:left w:w="108" w:type="dxa"/>
            <w:bottom w:w="0" w:type="dxa"/>
            <w:right w:w="108" w:type="dxa"/>
          </w:tblCellMar>
        </w:tblPrEx>
        <w:trPr>
          <w:trHeight w:val="795"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和地点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开标时间：同投标文件递交截止时间</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开标地点：温州市鹿城区瓯江路展银大厦1楼1号会议室</w:t>
            </w:r>
            <w:r>
              <w:rPr>
                <w:rFonts w:hint="eastAsia" w:ascii="新宋体" w:hAnsi="新宋体" w:eastAsia="新宋体" w:cs="新宋体"/>
                <w:color w:val="auto"/>
                <w:sz w:val="22"/>
                <w:szCs w:val="22"/>
                <w:highlight w:val="none"/>
                <w:shd w:val="clear" w:color="auto" w:fill="FFFFFF"/>
              </w:rPr>
              <w:t>。</w:t>
            </w:r>
          </w:p>
        </w:tc>
      </w:tr>
      <w:tr>
        <w:tblPrEx>
          <w:tblCellMar>
            <w:top w:w="0" w:type="dxa"/>
            <w:left w:w="108" w:type="dxa"/>
            <w:bottom w:w="0" w:type="dxa"/>
            <w:right w:w="108" w:type="dxa"/>
          </w:tblCellMar>
        </w:tblPrEx>
        <w:trPr>
          <w:trHeight w:val="723"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开评标程序</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密封情况检查</w:t>
            </w:r>
            <w:r>
              <w:rPr>
                <w:rFonts w:hint="eastAsia" w:ascii="新宋体" w:hAnsi="新宋体" w:eastAsia="新宋体" w:cs="新宋体"/>
                <w:color w:val="auto"/>
                <w:kern w:val="0"/>
                <w:sz w:val="22"/>
                <w:szCs w:val="22"/>
                <w:highlight w:val="none"/>
              </w:rPr>
              <w:sym w:font="Wingdings" w:char="F0E8"/>
            </w:r>
            <w:r>
              <w:rPr>
                <w:rFonts w:hint="eastAsia" w:ascii="新宋体" w:hAnsi="新宋体" w:eastAsia="新宋体" w:cs="新宋体"/>
                <w:color w:val="auto"/>
                <w:kern w:val="0"/>
                <w:sz w:val="22"/>
                <w:szCs w:val="22"/>
                <w:highlight w:val="none"/>
              </w:rPr>
              <w:t>开启</w:t>
            </w:r>
            <w:r>
              <w:rPr>
                <w:rFonts w:hint="eastAsia" w:ascii="新宋体" w:hAnsi="新宋体" w:eastAsia="新宋体" w:cs="新宋体"/>
                <w:color w:val="auto"/>
                <w:sz w:val="22"/>
                <w:szCs w:val="22"/>
                <w:highlight w:val="none"/>
              </w:rPr>
              <w:t>技术资信标</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资格审查</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符合性审查</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技术资信标评审</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开启商务（报价）标</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商务（报价）评审</w:t>
            </w:r>
            <w:r>
              <w:rPr>
                <w:rFonts w:hint="eastAsia" w:ascii="新宋体" w:hAnsi="新宋体" w:eastAsia="新宋体" w:cs="新宋体"/>
                <w:color w:val="auto"/>
                <w:sz w:val="22"/>
                <w:szCs w:val="22"/>
                <w:highlight w:val="none"/>
              </w:rPr>
              <w:sym w:font="Wingdings" w:char="F0E8"/>
            </w:r>
            <w:r>
              <w:rPr>
                <w:rFonts w:hint="eastAsia" w:ascii="新宋体" w:hAnsi="新宋体" w:eastAsia="新宋体" w:cs="新宋体"/>
                <w:color w:val="auto"/>
                <w:sz w:val="22"/>
                <w:szCs w:val="22"/>
                <w:highlight w:val="none"/>
              </w:rPr>
              <w:t>提交评审报告</w:t>
            </w:r>
          </w:p>
        </w:tc>
      </w:tr>
      <w:tr>
        <w:tblPrEx>
          <w:tblCellMar>
            <w:top w:w="0" w:type="dxa"/>
            <w:left w:w="108" w:type="dxa"/>
            <w:bottom w:w="0" w:type="dxa"/>
            <w:right w:w="108" w:type="dxa"/>
          </w:tblCellMar>
        </w:tblPrEx>
        <w:trPr>
          <w:trHeight w:val="699"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评标委员会成员由采购人依法组建</w:t>
            </w:r>
            <w:r>
              <w:rPr>
                <w:rFonts w:hint="eastAsia" w:ascii="新宋体" w:hAnsi="新宋体" w:eastAsia="新宋体" w:cs="新宋体"/>
                <w:bCs/>
                <w:color w:val="auto"/>
                <w:sz w:val="22"/>
                <w:szCs w:val="22"/>
                <w:highlight w:val="none"/>
              </w:rPr>
              <w:t>。</w:t>
            </w:r>
          </w:p>
        </w:tc>
      </w:tr>
      <w:tr>
        <w:tblPrEx>
          <w:tblCellMar>
            <w:top w:w="0" w:type="dxa"/>
            <w:left w:w="108" w:type="dxa"/>
            <w:bottom w:w="0" w:type="dxa"/>
            <w:right w:w="108" w:type="dxa"/>
          </w:tblCellMar>
        </w:tblPrEx>
        <w:trPr>
          <w:trHeight w:val="2419"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原 件</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□提交</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不提交(采购文件另有约定的除外)</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如评标委员会对投标人的投标文件存在疑议或无法辨认等情况，要求提供原件核查时，投标人必须在评标委员会规定的时间（15分钟）内送达。若未能在规定的时间内或未能按要求提供证照、证件和证明文件原件的，属采购文件实质性要求响应资料的，评标委员会将按相关证明资料缺少或无效处理；属打分评审资料的，按相应评分内容不得分处理。</w:t>
            </w:r>
          </w:p>
        </w:tc>
      </w:tr>
      <w:tr>
        <w:tblPrEx>
          <w:tblCellMar>
            <w:top w:w="0" w:type="dxa"/>
            <w:left w:w="108" w:type="dxa"/>
            <w:bottom w:w="0" w:type="dxa"/>
            <w:right w:w="108" w:type="dxa"/>
          </w:tblCellMar>
        </w:tblPrEx>
        <w:trPr>
          <w:trHeight w:val="4806"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投标人信用</w:t>
            </w:r>
          </w:p>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（1）供应商信用信息查询的查询渠道：“信用中国”(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新宋体" w:hAnsi="新宋体" w:eastAsia="新宋体" w:cs="新宋体"/>
                <w:bCs/>
                <w:color w:val="auto"/>
                <w:sz w:val="22"/>
                <w:szCs w:val="22"/>
                <w:highlight w:val="none"/>
              </w:rPr>
              <w:t>www.creditchina.gov.cn</w:t>
            </w:r>
            <w:r>
              <w:rPr>
                <w:rFonts w:hint="eastAsia" w:ascii="新宋体" w:hAnsi="新宋体" w:eastAsia="新宋体" w:cs="新宋体"/>
                <w:bCs/>
                <w:color w:val="auto"/>
                <w:sz w:val="22"/>
                <w:szCs w:val="22"/>
                <w:highlight w:val="none"/>
              </w:rPr>
              <w:fldChar w:fldCharType="end"/>
            </w:r>
            <w:r>
              <w:rPr>
                <w:rFonts w:hint="eastAsia" w:ascii="新宋体" w:hAnsi="新宋体" w:eastAsia="新宋体" w:cs="新宋体"/>
                <w:bCs/>
                <w:color w:val="auto"/>
                <w:sz w:val="22"/>
                <w:szCs w:val="22"/>
                <w:highlight w:val="none"/>
              </w:rPr>
              <w:t>)；“中国政府采购网”（http://www.ccgp.gov.cn/）；</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（2）供应商信用信息查询截止时点：本项目投标文件递交截止时间。</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（3）供应商信用信息查询记录和证据留存的具体方式：网页截图打印；</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（4）信用信息的使用规则：</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①在“信用中国”具有负面记录：列入失信被执行人、重大税收违法案件当事人名单、采购严重违法失信行为名单；</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②被“中国政府采购网”(www.ccgp.gov.cn)列入采购严重违法失信行为记录名单。</w:t>
            </w:r>
          </w:p>
          <w:p>
            <w:pPr>
              <w:spacing w:line="36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（5）具有以上（4）所述信息记录的供应商，其投标做无效投标处理。</w:t>
            </w:r>
          </w:p>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（6）具体结果以开标当日采购人或采购代理机构对投标人信用查询网页的查询结果为准。</w:t>
            </w:r>
          </w:p>
        </w:tc>
      </w:tr>
      <w:tr>
        <w:tblPrEx>
          <w:tblCellMar>
            <w:top w:w="0" w:type="dxa"/>
            <w:left w:w="108" w:type="dxa"/>
            <w:bottom w:w="0" w:type="dxa"/>
            <w:right w:w="108" w:type="dxa"/>
          </w:tblCellMar>
        </w:tblPrEx>
        <w:trPr>
          <w:trHeight w:val="1205"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履约担保</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不需要</w:t>
            </w:r>
          </w:p>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b/>
                <w:bCs w:val="0"/>
                <w:snapToGrid w:val="0"/>
                <w:color w:val="auto"/>
                <w:sz w:val="22"/>
                <w:szCs w:val="22"/>
                <w:highlight w:val="none"/>
              </w:rPr>
              <w:sym w:font="Wingdings" w:char="F0FE"/>
            </w:r>
            <w:r>
              <w:rPr>
                <w:rFonts w:hint="eastAsia" w:ascii="新宋体" w:hAnsi="新宋体" w:eastAsia="新宋体" w:cs="新宋体"/>
                <w:b/>
                <w:bCs w:val="0"/>
                <w:color w:val="auto"/>
                <w:sz w:val="22"/>
                <w:szCs w:val="22"/>
                <w:highlight w:val="none"/>
              </w:rPr>
              <w:t>需要，合同签订前中标人应向采购人提交合同金额10%的履约保证金（履约保证金应当以支票、汇票、本票或者金融机构、担保机构出具的保函等非现金形式）。</w:t>
            </w:r>
          </w:p>
        </w:tc>
      </w:tr>
      <w:tr>
        <w:tblPrEx>
          <w:tblCellMar>
            <w:top w:w="0" w:type="dxa"/>
            <w:left w:w="108" w:type="dxa"/>
            <w:bottom w:w="0" w:type="dxa"/>
            <w:right w:w="108" w:type="dxa"/>
          </w:tblCellMar>
        </w:tblPrEx>
        <w:trPr>
          <w:trHeight w:val="947" w:hRule="exac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中标通知书及合同备案</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新宋体" w:hAnsi="新宋体" w:eastAsia="新宋体" w:cs="新宋体"/>
                <w:bCs/>
                <w:snapToGrid w:val="0"/>
                <w:color w:val="auto"/>
                <w:sz w:val="22"/>
                <w:szCs w:val="22"/>
                <w:highlight w:val="none"/>
              </w:rPr>
            </w:pPr>
            <w:r>
              <w:rPr>
                <w:rFonts w:hint="eastAsia" w:ascii="新宋体" w:hAnsi="新宋体" w:eastAsia="新宋体" w:cs="新宋体"/>
                <w:bCs/>
                <w:snapToGrid w:val="0"/>
                <w:color w:val="auto"/>
                <w:sz w:val="22"/>
                <w:szCs w:val="22"/>
                <w:highlight w:val="none"/>
              </w:rPr>
              <w:t>（1）中标人须在中标通知书发出之日起10天内与采购人签订合同。</w:t>
            </w:r>
          </w:p>
          <w:p>
            <w:pPr>
              <w:spacing w:line="300" w:lineRule="exact"/>
              <w:rPr>
                <w:rFonts w:ascii="新宋体" w:hAnsi="新宋体" w:eastAsia="新宋体" w:cs="新宋体"/>
                <w:b/>
                <w:snapToGrid w:val="0"/>
                <w:color w:val="auto"/>
                <w:sz w:val="22"/>
                <w:szCs w:val="22"/>
                <w:highlight w:val="none"/>
              </w:rPr>
            </w:pPr>
            <w:r>
              <w:rPr>
                <w:rFonts w:hint="eastAsia" w:ascii="新宋体" w:hAnsi="新宋体" w:eastAsia="新宋体" w:cs="新宋体"/>
                <w:bCs/>
                <w:snapToGrid w:val="0"/>
                <w:color w:val="auto"/>
                <w:sz w:val="22"/>
                <w:szCs w:val="22"/>
                <w:highlight w:val="none"/>
              </w:rPr>
              <w:t>（2）合同签订后，中标人应在2天内将合同扫描件电子版发给采购代理机构，由采购代理机构负责备案。邮箱：53514766@qq.com。</w:t>
            </w:r>
          </w:p>
        </w:tc>
      </w:tr>
      <w:tr>
        <w:tblPrEx>
          <w:tblCellMar>
            <w:top w:w="0" w:type="dxa"/>
            <w:left w:w="108" w:type="dxa"/>
            <w:bottom w:w="0" w:type="dxa"/>
            <w:right w:w="108" w:type="dxa"/>
          </w:tblCellMar>
        </w:tblPrEx>
        <w:trPr>
          <w:trHeight w:val="660" w:hRule="atLeast"/>
        </w:trPr>
        <w:tc>
          <w:tcPr>
            <w:tcW w:w="10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注意事项</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新宋体" w:hAnsi="新宋体" w:eastAsia="新宋体" w:cs="新宋体"/>
                <w:bCs/>
                <w:snapToGrid w:val="0"/>
                <w:color w:val="auto"/>
                <w:sz w:val="22"/>
                <w:szCs w:val="22"/>
                <w:highlight w:val="none"/>
              </w:rPr>
            </w:pPr>
            <w:r>
              <w:rPr>
                <w:rFonts w:hint="eastAsia" w:ascii="新宋体" w:hAnsi="新宋体" w:eastAsia="新宋体" w:cs="新宋体"/>
                <w:bCs/>
                <w:snapToGrid w:val="0"/>
                <w:color w:val="auto"/>
                <w:sz w:val="22"/>
                <w:szCs w:val="22"/>
                <w:highlight w:val="none"/>
              </w:rPr>
              <w:t>（1）本采购文件中如有前后不一致的，一律以本“投标人须知前附表”为准；</w:t>
            </w:r>
          </w:p>
          <w:p>
            <w:pPr>
              <w:spacing w:line="300" w:lineRule="exact"/>
              <w:rPr>
                <w:rFonts w:ascii="新宋体" w:hAnsi="新宋体" w:eastAsia="新宋体" w:cs="新宋体"/>
                <w:bCs/>
                <w:snapToGrid w:val="0"/>
                <w:color w:val="auto"/>
                <w:sz w:val="22"/>
                <w:szCs w:val="22"/>
                <w:highlight w:val="none"/>
              </w:rPr>
            </w:pPr>
            <w:r>
              <w:rPr>
                <w:rFonts w:hint="eastAsia" w:ascii="新宋体" w:hAnsi="新宋体" w:eastAsia="新宋体" w:cs="新宋体"/>
                <w:bCs/>
                <w:snapToGrid w:val="0"/>
                <w:color w:val="auto"/>
                <w:sz w:val="22"/>
                <w:szCs w:val="22"/>
                <w:highlight w:val="none"/>
              </w:rPr>
              <w:t>（2）本采购文件涉及的时间为“北京时间”；</w:t>
            </w:r>
          </w:p>
          <w:p>
            <w:pPr>
              <w:spacing w:line="300" w:lineRule="exact"/>
              <w:rPr>
                <w:rFonts w:ascii="新宋体" w:hAnsi="新宋体" w:eastAsia="新宋体" w:cs="新宋体"/>
                <w:bCs/>
                <w:snapToGrid w:val="0"/>
                <w:color w:val="auto"/>
                <w:sz w:val="22"/>
                <w:szCs w:val="22"/>
                <w:highlight w:val="none"/>
              </w:rPr>
            </w:pPr>
            <w:r>
              <w:rPr>
                <w:rFonts w:hint="eastAsia" w:ascii="新宋体" w:hAnsi="新宋体" w:eastAsia="新宋体" w:cs="新宋体"/>
                <w:bCs/>
                <w:snapToGrid w:val="0"/>
                <w:color w:val="auto"/>
                <w:sz w:val="22"/>
                <w:szCs w:val="22"/>
                <w:highlight w:val="none"/>
              </w:rPr>
              <w:t>（3）本采购文件涉及的货币为“人民币”；</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bCs/>
                <w:snapToGrid w:val="0"/>
                <w:color w:val="auto"/>
                <w:sz w:val="22"/>
                <w:szCs w:val="22"/>
                <w:highlight w:val="none"/>
              </w:rPr>
              <w:t>（4）采购文件资料费用：根据省物价局有关文件规定，采购代理公司将收取本项目采购文件的编制费500元/份。</w:t>
            </w:r>
          </w:p>
        </w:tc>
      </w:tr>
    </w:tbl>
    <w:p>
      <w:pPr>
        <w:pStyle w:val="4"/>
        <w:overflowPunct w:val="0"/>
        <w:rPr>
          <w:rFonts w:ascii="新宋体" w:hAnsi="新宋体" w:eastAsia="新宋体" w:cs="新宋体"/>
          <w:color w:val="auto"/>
          <w:sz w:val="36"/>
          <w:szCs w:val="36"/>
          <w:highlight w:val="none"/>
        </w:rPr>
      </w:pPr>
      <w:bookmarkStart w:id="27" w:name="_Toc221423615"/>
      <w:bookmarkStart w:id="28" w:name="_Toc245191310"/>
      <w:bookmarkStart w:id="29" w:name="_Toc221374622"/>
      <w:bookmarkStart w:id="30" w:name="_Toc221356947"/>
      <w:bookmarkStart w:id="31" w:name="_Toc221356882"/>
      <w:bookmarkStart w:id="32" w:name="_Toc251325210"/>
      <w:bookmarkStart w:id="33" w:name="_Toc223715994"/>
      <w:bookmarkStart w:id="34" w:name="_Toc239145350"/>
      <w:bookmarkStart w:id="35" w:name="_Toc241404198"/>
      <w:bookmarkStart w:id="36" w:name="_Toc251592733"/>
      <w:bookmarkStart w:id="37" w:name="_Toc245722277"/>
      <w:bookmarkStart w:id="38" w:name="_Toc246261261"/>
      <w:bookmarkStart w:id="39" w:name="_Toc252194848"/>
      <w:bookmarkStart w:id="40" w:name="_Toc222114875"/>
      <w:r>
        <w:rPr>
          <w:rFonts w:hint="eastAsia" w:ascii="新宋体" w:hAnsi="新宋体" w:eastAsia="新宋体" w:cs="新宋体"/>
          <w:color w:val="auto"/>
          <w:sz w:val="36"/>
          <w:szCs w:val="36"/>
          <w:highlight w:val="none"/>
        </w:rPr>
        <w:br w:type="page"/>
      </w:r>
      <w:bookmarkStart w:id="41" w:name="_Toc3799543"/>
      <w:bookmarkStart w:id="42" w:name="_Toc522645671"/>
      <w:r>
        <w:rPr>
          <w:rFonts w:hint="eastAsia" w:ascii="新宋体" w:hAnsi="新宋体" w:eastAsia="新宋体" w:cs="新宋体"/>
          <w:color w:val="auto"/>
          <w:sz w:val="36"/>
          <w:szCs w:val="36"/>
          <w:highlight w:val="none"/>
        </w:rPr>
        <w:t>第一部分    投标人须知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overflowPunct w:val="0"/>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43" w:name="_Toc3799544"/>
      <w:bookmarkStart w:id="44" w:name="_Toc221423616"/>
      <w:bookmarkStart w:id="45" w:name="_Toc245722278"/>
      <w:bookmarkStart w:id="46" w:name="_Toc223715995"/>
      <w:bookmarkStart w:id="47" w:name="_Toc245191311"/>
      <w:bookmarkStart w:id="48" w:name="_Toc221374623"/>
      <w:bookmarkStart w:id="49" w:name="_Toc251592734"/>
      <w:bookmarkStart w:id="50" w:name="_Toc252194849"/>
      <w:bookmarkStart w:id="51" w:name="_Toc241404199"/>
      <w:bookmarkStart w:id="52" w:name="_Toc251325211"/>
      <w:bookmarkStart w:id="53" w:name="_Toc246261262"/>
      <w:bookmarkStart w:id="54" w:name="_Toc222114876"/>
      <w:bookmarkStart w:id="55" w:name="_Toc239145351"/>
      <w:bookmarkStart w:id="56" w:name="_Toc221356948"/>
      <w:bookmarkStart w:id="57" w:name="_Toc221356883"/>
      <w:bookmarkStart w:id="58" w:name="_Toc522645672"/>
      <w:r>
        <w:rPr>
          <w:rFonts w:hint="eastAsia" w:ascii="新宋体" w:hAnsi="新宋体" w:eastAsia="新宋体" w:cs="新宋体"/>
          <w:b/>
          <w:bCs/>
          <w:color w:val="auto"/>
          <w:sz w:val="26"/>
          <w:szCs w:val="26"/>
          <w:highlight w:val="none"/>
        </w:rPr>
        <w:t>一、  说明</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numPr>
          <w:ilvl w:val="0"/>
          <w:numId w:val="4"/>
        </w:numPr>
        <w:tabs>
          <w:tab w:val="left" w:pos="540"/>
          <w:tab w:val="left" w:pos="90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本项目属于其他类国企采购</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非政府采购</w:t>
      </w:r>
      <w:r>
        <w:rPr>
          <w:rFonts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w:t>
      </w:r>
    </w:p>
    <w:p>
      <w:pPr>
        <w:numPr>
          <w:ilvl w:val="0"/>
          <w:numId w:val="4"/>
        </w:numPr>
        <w:tabs>
          <w:tab w:val="left" w:pos="540"/>
          <w:tab w:val="left" w:pos="90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合格投标人要求，以本项目采购公告及投标人须知前附表表述为准。</w:t>
      </w:r>
    </w:p>
    <w:p>
      <w:pPr>
        <w:numPr>
          <w:ilvl w:val="0"/>
          <w:numId w:val="4"/>
        </w:numPr>
        <w:tabs>
          <w:tab w:val="left" w:pos="540"/>
          <w:tab w:val="left" w:pos="90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w:t>
      </w:r>
    </w:p>
    <w:p>
      <w:pPr>
        <w:overflowPunct w:val="0"/>
        <w:spacing w:line="460" w:lineRule="exact"/>
        <w:ind w:left="538" w:leftChars="25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指全权代表投标人参加投标活动并签署投标文件的人，如果投标人代表不是法定代表人（法定负责人），须持有《法定代表人（法定负责人）授权书》。</w:t>
      </w:r>
    </w:p>
    <w:p>
      <w:pPr>
        <w:numPr>
          <w:ilvl w:val="0"/>
          <w:numId w:val="4"/>
        </w:numPr>
        <w:tabs>
          <w:tab w:val="left" w:pos="540"/>
          <w:tab w:val="left" w:pos="90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投标费用</w:t>
      </w:r>
    </w:p>
    <w:p>
      <w:pPr>
        <w:tabs>
          <w:tab w:val="left" w:pos="540"/>
          <w:tab w:val="left" w:pos="900"/>
        </w:tabs>
        <w:overflowPunct w:val="0"/>
        <w:spacing w:line="460" w:lineRule="exact"/>
        <w:ind w:left="548" w:leftChars="26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投标人应承担所有与准备和参加投标有关费用，不论投标的结果如何，采购人和采购代理机构均无义务和责任承担这些费用。</w:t>
      </w:r>
    </w:p>
    <w:p>
      <w:pPr>
        <w:overflowPunct w:val="0"/>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59" w:name="_Toc222114877"/>
      <w:bookmarkStart w:id="60" w:name="_Toc239145352"/>
      <w:bookmarkStart w:id="61" w:name="_Toc252194850"/>
      <w:bookmarkStart w:id="62" w:name="_Toc522645673"/>
      <w:bookmarkStart w:id="63" w:name="_Toc246261263"/>
      <w:bookmarkStart w:id="64" w:name="_Toc241404200"/>
      <w:bookmarkStart w:id="65" w:name="_Toc245191312"/>
      <w:bookmarkStart w:id="66" w:name="_Toc221356949"/>
      <w:bookmarkStart w:id="67" w:name="_Toc3799545"/>
      <w:bookmarkStart w:id="68" w:name="_Toc221356884"/>
      <w:bookmarkStart w:id="69" w:name="_Toc251592735"/>
      <w:bookmarkStart w:id="70" w:name="_Toc245722279"/>
      <w:bookmarkStart w:id="71" w:name="_Toc221374624"/>
      <w:bookmarkStart w:id="72" w:name="_Toc251325212"/>
      <w:bookmarkStart w:id="73" w:name="_Toc221423617"/>
      <w:bookmarkStart w:id="74" w:name="_Toc223715996"/>
      <w:r>
        <w:rPr>
          <w:rFonts w:hint="eastAsia" w:ascii="新宋体" w:hAnsi="新宋体" w:eastAsia="新宋体" w:cs="新宋体"/>
          <w:b/>
          <w:bCs/>
          <w:color w:val="auto"/>
          <w:sz w:val="26"/>
          <w:szCs w:val="26"/>
          <w:highlight w:val="none"/>
        </w:rPr>
        <w:t xml:space="preserve">二、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ascii="新宋体" w:hAnsi="新宋体" w:eastAsia="新宋体" w:cs="新宋体"/>
          <w:b/>
          <w:bCs/>
          <w:color w:val="auto"/>
          <w:sz w:val="26"/>
          <w:szCs w:val="26"/>
          <w:highlight w:val="none"/>
        </w:rPr>
        <w:t>采购文件</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采购文件由采购文件目录所列内容及相关资料组成。</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采购文件的澄清和质疑</w:t>
      </w:r>
    </w:p>
    <w:p>
      <w:pPr>
        <w:tabs>
          <w:tab w:val="left" w:pos="540"/>
        </w:tabs>
        <w:spacing w:line="460" w:lineRule="exact"/>
        <w:ind w:left="109" w:leftChars="52"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供应商对采购文件如有疑点或未尽事宜要求澄清，或认为有必要进行说明或交流，供应商可以在知道或应知其权益受到损害之日起7个工作日内，以书面形式（包括信函、传真、下同）向采购人和采购代理机构提出质疑，</w:t>
      </w:r>
      <w:bookmarkStart w:id="75" w:name="_Hlk3387438"/>
      <w:r>
        <w:rPr>
          <w:rFonts w:hint="eastAsia" w:ascii="新宋体" w:hAnsi="新宋体" w:eastAsia="新宋体" w:cs="新宋体"/>
          <w:color w:val="auto"/>
          <w:sz w:val="22"/>
          <w:szCs w:val="22"/>
          <w:highlight w:val="none"/>
        </w:rPr>
        <w:t>但质疑不得迟于采购文件规定的投标截止时间前使采购人收到</w:t>
      </w:r>
      <w:bookmarkEnd w:id="75"/>
      <w:r>
        <w:rPr>
          <w:rFonts w:hint="eastAsia" w:ascii="新宋体" w:hAnsi="新宋体" w:eastAsia="新宋体" w:cs="新宋体"/>
          <w:color w:val="auto"/>
          <w:sz w:val="22"/>
          <w:szCs w:val="22"/>
          <w:highlight w:val="none"/>
        </w:rPr>
        <w:t>，采购人和采购代理机构将用书面形式予以答复。如有必要，可将不说明问题来源的答复发给各有关供应商或召开答疑会。如果标书答疑期内未收到有关疑问，视为供应商完全同意采购文件所有条款，且对于采购文件相关表述以及未尽事宜如有争议，以采购人解释为准。</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采购文件的修改</w:t>
      </w:r>
    </w:p>
    <w:p>
      <w:pPr>
        <w:numPr>
          <w:ilvl w:val="1"/>
          <w:numId w:val="6"/>
        </w:numPr>
        <w:tabs>
          <w:tab w:val="left" w:pos="360"/>
          <w:tab w:val="left" w:pos="747"/>
        </w:tabs>
        <w:overflowPunct w:val="0"/>
        <w:spacing w:line="460" w:lineRule="exact"/>
        <w:ind w:left="360" w:hanging="360"/>
        <w:rPr>
          <w:rFonts w:ascii="新宋体" w:hAnsi="新宋体" w:eastAsia="新宋体" w:cs="新宋体"/>
          <w:color w:val="auto"/>
          <w:sz w:val="22"/>
          <w:szCs w:val="22"/>
          <w:highlight w:val="none"/>
        </w:rPr>
      </w:pPr>
      <w:bookmarkStart w:id="76" w:name="_Hlk3388559"/>
      <w:r>
        <w:rPr>
          <w:rFonts w:hint="eastAsia" w:ascii="新宋体" w:hAnsi="新宋体" w:eastAsia="新宋体" w:cs="新宋体"/>
          <w:color w:val="auto"/>
          <w:sz w:val="22"/>
          <w:szCs w:val="22"/>
          <w:highlight w:val="none"/>
        </w:rPr>
        <w:t>在投标文件递交截止期前，采购人无论是出于何种原因，均可对采购文件用补充文件的方式进行修改，并在指定媒介上发布更正公告。该澄清和修改的内容为采购文件的组成部分。采购人可以视采购具体情况在采购文件要求提交截止时间前，作出延长投标文件递交截止时间和开标时间的决定，并将变更时间书面通知所有采购文件收受人，并在指定媒介上发布变更公告。</w:t>
      </w:r>
    </w:p>
    <w:bookmarkEnd w:id="76"/>
    <w:p>
      <w:pPr>
        <w:numPr>
          <w:ilvl w:val="1"/>
          <w:numId w:val="6"/>
        </w:numPr>
        <w:tabs>
          <w:tab w:val="left" w:pos="360"/>
          <w:tab w:val="left" w:pos="747"/>
        </w:tabs>
        <w:overflowPunct w:val="0"/>
        <w:spacing w:line="460" w:lineRule="exact"/>
        <w:ind w:left="360" w:hanging="36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投标人收到澄清和修改的补充文件，应立即以书面形式回复确认已收到补充文件。</w:t>
      </w:r>
    </w:p>
    <w:p>
      <w:pPr>
        <w:overflowPunct w:val="0"/>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77" w:name="_Toc252194851"/>
      <w:bookmarkStart w:id="78" w:name="_Toc245722280"/>
      <w:bookmarkStart w:id="79" w:name="_Toc239145353"/>
      <w:bookmarkStart w:id="80" w:name="_Toc245191313"/>
      <w:bookmarkStart w:id="81" w:name="_Toc221374625"/>
      <w:bookmarkStart w:id="82" w:name="_Toc221356950"/>
      <w:bookmarkStart w:id="83" w:name="_Toc246261264"/>
      <w:bookmarkStart w:id="84" w:name="_Toc222114878"/>
      <w:bookmarkStart w:id="85" w:name="_Toc3799546"/>
      <w:bookmarkStart w:id="86" w:name="_Toc223715997"/>
      <w:bookmarkStart w:id="87" w:name="_Toc241404201"/>
      <w:bookmarkStart w:id="88" w:name="_Toc221423618"/>
      <w:bookmarkStart w:id="89" w:name="_Toc251592736"/>
      <w:bookmarkStart w:id="90" w:name="_Toc221356885"/>
      <w:bookmarkStart w:id="91" w:name="_Toc251325213"/>
      <w:bookmarkStart w:id="92" w:name="_Toc522645674"/>
      <w:r>
        <w:rPr>
          <w:rFonts w:hint="eastAsia" w:ascii="新宋体" w:hAnsi="新宋体" w:eastAsia="新宋体" w:cs="新宋体"/>
          <w:b/>
          <w:bCs/>
          <w:color w:val="auto"/>
          <w:sz w:val="26"/>
          <w:szCs w:val="26"/>
          <w:highlight w:val="none"/>
        </w:rPr>
        <w:t>三、 投标文件的编制</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投标人应认真阅读采购文件中所有事项格式、条款和技术规范等。投标人没有按照采购文件要求提交全部资料，或者没有对采购文件各个方面做出实质性响应，导致投标被拒绝的风险由投标人自行承担。</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投标人法律责任</w:t>
      </w:r>
    </w:p>
    <w:p>
      <w:pPr>
        <w:tabs>
          <w:tab w:val="left" w:pos="900"/>
        </w:tabs>
        <w:overflowPunct w:val="0"/>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投标人应保证所提供文件资料的真实性，所有文件资料必须是针对本次投标的。如发现投标人提供了虚假文件资料，其投标将被拒绝，并承担相应的法律责任。</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投标文件的构成：</w:t>
      </w:r>
    </w:p>
    <w:p>
      <w:pPr>
        <w:numPr>
          <w:ilvl w:val="1"/>
          <w:numId w:val="7"/>
        </w:numPr>
        <w:tabs>
          <w:tab w:val="left" w:pos="535"/>
        </w:tabs>
        <w:overflowPunct w:val="0"/>
        <w:spacing w:line="460" w:lineRule="exact"/>
        <w:ind w:left="535" w:hanging="53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  投标文件由技术资信标和商务（报价）标两部分构成：</w:t>
      </w:r>
    </w:p>
    <w:p>
      <w:pPr>
        <w:overflowPunct w:val="0"/>
        <w:spacing w:line="430" w:lineRule="exact"/>
        <w:ind w:left="187" w:leftChars="85" w:hanging="9" w:hangingChars="4"/>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（1）技术资信标</w:t>
      </w:r>
    </w:p>
    <w:tbl>
      <w:tblPr>
        <w:tblStyle w:val="30"/>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764"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6" w:type="dxa"/>
            <w:gridSpan w:val="3"/>
            <w:vAlign w:val="center"/>
          </w:tcPr>
          <w:p>
            <w:pPr>
              <w:rPr>
                <w:rFonts w:ascii="新宋体" w:hAnsi="新宋体" w:eastAsia="新宋体" w:cs="新宋体"/>
                <w:color w:val="auto"/>
                <w:highlight w:val="none"/>
              </w:rPr>
            </w:pPr>
            <w:r>
              <w:rPr>
                <w:rFonts w:hint="eastAsia" w:ascii="新宋体" w:hAnsi="新宋体" w:eastAsia="新宋体" w:cs="新宋体"/>
                <w:b/>
                <w:color w:val="auto"/>
                <w:sz w:val="22"/>
                <w:szCs w:val="22"/>
                <w:highlight w:val="none"/>
              </w:rPr>
              <w:t>技术资信标评审目录（评分索引）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▲投标函</w:t>
            </w:r>
          </w:p>
        </w:tc>
        <w:tc>
          <w:tcPr>
            <w:tcW w:w="12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▲技术规格、商务条款偏离表</w:t>
            </w:r>
          </w:p>
        </w:tc>
        <w:tc>
          <w:tcPr>
            <w:tcW w:w="12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▲法定代表人（法定负责人）授权书和授权代表人有效身份证明</w:t>
            </w:r>
          </w:p>
        </w:tc>
        <w:tc>
          <w:tcPr>
            <w:tcW w:w="12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u w:val="single"/>
              </w:rPr>
              <w:t>▲</w:t>
            </w:r>
            <w:r>
              <w:rPr>
                <w:rFonts w:hint="eastAsia" w:ascii="新宋体" w:hAnsi="新宋体" w:eastAsia="新宋体" w:cs="新宋体"/>
                <w:b/>
                <w:color w:val="auto"/>
                <w:sz w:val="22"/>
                <w:szCs w:val="22"/>
                <w:highlight w:val="none"/>
                <w:u w:val="single"/>
              </w:rPr>
              <w:t>资格证明文件：</w:t>
            </w:r>
          </w:p>
        </w:tc>
        <w:tc>
          <w:tcPr>
            <w:tcW w:w="12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a</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有效营业执照副本（或法人登记证书）复制件加盖投标人公章</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金融、保险、通讯等特定行业的全国性企业所设立的区域性分支机构，以及个</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体工商户、个人独资企业、合伙企业，如果已经依法办理了工商、税务和</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社保登记手续，并且获得总公司（总机构）【或省级机构（一级机构），</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如无明显确定为省级机构（一级机构）需提供证明】授权文件或能够提供房产</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权证或其他有效财产证明材料（在投标文件中提供相关材料），证明其具备实</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际承担责任的能力和法定的缔结合同能力，可以独立参加采购活动，由单位负</w:t>
            </w:r>
          </w:p>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责人签署相关文件材料；</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b</w:t>
            </w:r>
          </w:p>
        </w:tc>
        <w:tc>
          <w:tcPr>
            <w:tcW w:w="7764" w:type="dxa"/>
            <w:vAlign w:val="center"/>
          </w:tcPr>
          <w:p>
            <w:pPr>
              <w:pStyle w:val="3"/>
              <w:ind w:left="442" w:hanging="442"/>
              <w:rPr>
                <w:rFonts w:ascii="新宋体" w:hAnsi="新宋体" w:eastAsia="新宋体" w:cs="新宋体"/>
                <w:b/>
                <w:bCs/>
                <w:color w:val="auto"/>
                <w:highlight w:val="none"/>
                <w:u w:val="single"/>
              </w:rPr>
            </w:pPr>
            <w:r>
              <w:rPr>
                <w:rFonts w:hint="eastAsia" w:ascii="新宋体" w:hAnsi="新宋体" w:eastAsia="新宋体" w:cs="新宋体"/>
                <w:b/>
                <w:bCs/>
                <w:color w:val="auto"/>
                <w:sz w:val="22"/>
                <w:szCs w:val="22"/>
                <w:highlight w:val="none"/>
                <w:u w:val="single"/>
              </w:rPr>
              <w:t>具有良好的商业信誉和健全的财务会计制度的承诺函;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c</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具有履行合同所必需的设备和专业技术、售后保障等能力的承诺函；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d</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依法缴纳税收和社会保障资金的承诺函；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e</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参加采购、招投标等活动前三年内，在经营活动中没有重大违法记录、严重失信行为和行贿记录的声明函；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f</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投标人没有失信记录承诺函；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g</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单位负责人为同一人或者存在直接控股、管理关系的不同供应商，不得参加本项目采购活动承诺函；</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h</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投标人有效的林木种子生产许可证和林木种子经营许可证（或具备有效的林木种子生产经营许可证)复制件加盖投标人公章;</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i/>
                <w:iCs/>
                <w:color w:val="auto"/>
                <w:sz w:val="22"/>
                <w:szCs w:val="22"/>
                <w:highlight w:val="none"/>
              </w:rPr>
            </w:pPr>
            <w:r>
              <w:rPr>
                <w:rFonts w:hint="eastAsia" w:ascii="新宋体" w:hAnsi="新宋体" w:eastAsia="新宋体" w:cs="新宋体"/>
                <w:b/>
                <w:color w:val="auto"/>
                <w:sz w:val="22"/>
                <w:szCs w:val="22"/>
                <w:highlight w:val="none"/>
              </w:rPr>
              <w:t>i</w:t>
            </w:r>
          </w:p>
        </w:tc>
        <w:tc>
          <w:tcPr>
            <w:tcW w:w="7764" w:type="dxa"/>
            <w:vAlign w:val="center"/>
          </w:tcPr>
          <w:p>
            <w:pPr>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非联合体声明书。</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7764" w:type="dxa"/>
            <w:vAlign w:val="center"/>
          </w:tcPr>
          <w:p>
            <w:pPr>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技术资信部分</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a</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投标人项目业绩一览表及证明文件</w:t>
            </w:r>
          </w:p>
        </w:tc>
        <w:tc>
          <w:tcPr>
            <w:tcW w:w="12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b</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其它资信证明文件复制件</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c</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投标人简介</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d</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苗圃基地情况介绍</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e</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花卉苗木自有率</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f</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苗木品质保障</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g</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针对本项目的供货方案</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h</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作业技术规范</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i</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投入本项目的作业设备</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j</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应急预案</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k</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装技术力量</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l</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售后服务方案及优惠承诺</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m</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针对本项目拟组建的项目组人员情况</w:t>
            </w:r>
          </w:p>
        </w:tc>
        <w:tc>
          <w:tcPr>
            <w:tcW w:w="1273"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776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投标人认为需要提供的其他相关资料</w:t>
            </w:r>
          </w:p>
        </w:tc>
        <w:tc>
          <w:tcPr>
            <w:tcW w:w="1273" w:type="dxa"/>
            <w:vAlign w:val="center"/>
          </w:tcPr>
          <w:p>
            <w:pPr>
              <w:jc w:val="center"/>
              <w:rPr>
                <w:rFonts w:ascii="新宋体" w:hAnsi="新宋体" w:eastAsia="新宋体" w:cs="新宋体"/>
                <w:color w:val="auto"/>
                <w:highlight w:val="none"/>
              </w:rPr>
            </w:pPr>
          </w:p>
        </w:tc>
      </w:tr>
    </w:tbl>
    <w:p>
      <w:pPr>
        <w:spacing w:line="430" w:lineRule="exact"/>
        <w:ind w:left="187" w:leftChars="85" w:hanging="9" w:hangingChars="4"/>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说明：</w:t>
      </w:r>
    </w:p>
    <w:p>
      <w:pPr>
        <w:tabs>
          <w:tab w:val="left" w:pos="5355"/>
        </w:tabs>
        <w:spacing w:line="430" w:lineRule="exact"/>
        <w:ind w:left="36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1）投标人可根据采购文件中的采购内容及要求和技术资信评分表，提供投标人认为需要提供的文件和资料。</w:t>
      </w:r>
    </w:p>
    <w:p>
      <w:pPr>
        <w:tabs>
          <w:tab w:val="left" w:pos="5355"/>
        </w:tabs>
        <w:spacing w:line="430" w:lineRule="exact"/>
        <w:ind w:left="36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2）以上所需的各种证书、证件、证明、执照若系复制件，须在复制件上加盖投标人有效公章。</w:t>
      </w:r>
    </w:p>
    <w:p>
      <w:pPr>
        <w:overflowPunct w:val="0"/>
        <w:spacing w:line="430" w:lineRule="exact"/>
        <w:rPr>
          <w:rFonts w:ascii="新宋体" w:hAnsi="新宋体" w:eastAsia="新宋体" w:cs="新宋体"/>
          <w:b/>
          <w:color w:val="auto"/>
          <w:sz w:val="22"/>
          <w:szCs w:val="22"/>
          <w:highlight w:val="none"/>
        </w:rPr>
      </w:pPr>
      <w:bookmarkStart w:id="93" w:name="_Toc221356886"/>
      <w:r>
        <w:rPr>
          <w:rFonts w:hint="eastAsia" w:ascii="新宋体" w:hAnsi="新宋体" w:eastAsia="新宋体" w:cs="新宋体"/>
          <w:b/>
          <w:color w:val="auto"/>
          <w:sz w:val="22"/>
          <w:szCs w:val="22"/>
          <w:highlight w:val="none"/>
        </w:rPr>
        <w:t>（2） 商务（报价）标</w:t>
      </w:r>
      <w:bookmarkEnd w:id="93"/>
    </w:p>
    <w:tbl>
      <w:tblPr>
        <w:tblStyle w:val="30"/>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738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09"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380"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579" w:type="dxa"/>
            <w:vAlign w:val="center"/>
          </w:tcPr>
          <w:p>
            <w:pPr>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09"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380"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报价一览表</w:t>
            </w:r>
          </w:p>
        </w:tc>
        <w:tc>
          <w:tcPr>
            <w:tcW w:w="1579"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09"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380" w:type="dxa"/>
            <w:vAlign w:val="center"/>
          </w:tcPr>
          <w:p>
            <w:pPr>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投标分项报价表</w:t>
            </w:r>
          </w:p>
        </w:tc>
        <w:tc>
          <w:tcPr>
            <w:tcW w:w="1579"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附件二-2</w:t>
            </w:r>
          </w:p>
        </w:tc>
      </w:tr>
    </w:tbl>
    <w:p>
      <w:pPr>
        <w:numPr>
          <w:ilvl w:val="1"/>
          <w:numId w:val="7"/>
        </w:numPr>
        <w:tabs>
          <w:tab w:val="left" w:pos="360"/>
        </w:tabs>
        <w:overflowPunct w:val="0"/>
        <w:spacing w:line="360" w:lineRule="auto"/>
        <w:ind w:left="360" w:hanging="36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投标文件格式</w:t>
      </w:r>
    </w:p>
    <w:p>
      <w:pPr>
        <w:numPr>
          <w:ilvl w:val="0"/>
          <w:numId w:val="8"/>
        </w:numPr>
        <w:tabs>
          <w:tab w:val="left" w:pos="5355"/>
        </w:tabs>
        <w:overflowPunct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投标人应根据采购文件中所提供的格式，内容按顺序填写并装订成册</w:t>
      </w:r>
      <w:r>
        <w:rPr>
          <w:rFonts w:hint="eastAsia" w:ascii="新宋体" w:hAnsi="新宋体" w:eastAsia="新宋体" w:cs="新宋体"/>
          <w:color w:val="auto"/>
          <w:sz w:val="22"/>
          <w:szCs w:val="22"/>
          <w:highlight w:val="none"/>
        </w:rPr>
        <w:t>；</w:t>
      </w:r>
    </w:p>
    <w:p>
      <w:pPr>
        <w:numPr>
          <w:ilvl w:val="0"/>
          <w:numId w:val="8"/>
        </w:numPr>
        <w:tabs>
          <w:tab w:val="left" w:pos="5355"/>
        </w:tabs>
        <w:overflowPunct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投标文件应有目录以及页码，以便评委检索；</w:t>
      </w:r>
    </w:p>
    <w:p>
      <w:pPr>
        <w:numPr>
          <w:ilvl w:val="0"/>
          <w:numId w:val="8"/>
        </w:numPr>
        <w:tabs>
          <w:tab w:val="left" w:pos="5355"/>
        </w:tabs>
        <w:overflowPunct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投标文件表述内容应简练，尽可能以双面打印（复印）制作；</w:t>
      </w:r>
    </w:p>
    <w:p>
      <w:pPr>
        <w:numPr>
          <w:ilvl w:val="0"/>
          <w:numId w:val="8"/>
        </w:numPr>
        <w:tabs>
          <w:tab w:val="left" w:pos="5355"/>
        </w:tabs>
        <w:overflowPunct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投标文件的技术资信标及商务（报价）标须单独成册，分别包装于技术资信标和商务（报价）标标函袋中。</w:t>
      </w:r>
    </w:p>
    <w:p>
      <w:pPr>
        <w:tabs>
          <w:tab w:val="left" w:pos="-180"/>
          <w:tab w:val="left" w:pos="180"/>
          <w:tab w:val="left" w:pos="360"/>
        </w:tabs>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10.3</w:t>
      </w:r>
      <w:r>
        <w:rPr>
          <w:rFonts w:hint="eastAsia" w:ascii="新宋体" w:hAnsi="新宋体" w:eastAsia="新宋体" w:cs="新宋体"/>
          <w:b/>
          <w:bCs/>
          <w:color w:val="auto"/>
          <w:sz w:val="22"/>
          <w:szCs w:val="22"/>
          <w:highlight w:val="none"/>
        </w:rPr>
        <w:t>证书原件：</w:t>
      </w:r>
    </w:p>
    <w:p>
      <w:pPr>
        <w:tabs>
          <w:tab w:val="left" w:pos="-180"/>
          <w:tab w:val="left" w:pos="180"/>
          <w:tab w:val="left" w:pos="360"/>
        </w:tabs>
        <w:spacing w:line="360" w:lineRule="auto"/>
        <w:ind w:firstLine="44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证书、证件、证明等原件，不属于投标文件组成部分，仅属备查项目，并非强制性要求，由投标人自行保管。本次评标主要依据投标人投标文件中加盖有效公章的证书/证件/证明文件复制件，但评标委员会可根据评审需要要求投标人在规定时间内（一般不超过15分钟）提供原件，若投标人届时未能提供原件佐证的，则承担相应评分项不得分和资格审查、符合性审查不通过的风险。</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投标报价</w:t>
      </w:r>
    </w:p>
    <w:p>
      <w:pPr>
        <w:numPr>
          <w:ilvl w:val="1"/>
          <w:numId w:val="9"/>
        </w:numPr>
        <w:tabs>
          <w:tab w:val="left" w:pos="535"/>
        </w:tabs>
        <w:overflowPunct w:val="0"/>
        <w:spacing w:line="460" w:lineRule="exact"/>
        <w:ind w:left="540" w:hanging="54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报价是指投标供应商为正确地完全履行采购内容及要求的价格体现，包括了苗木采购、起挖、包装、装车、运输、办理检疫、利润、税金、采购代理服务费等完成合同所需的一切本身和不可或缺的所有工作开支、政策性文件规定及合同包含的所有风险、责任等各项全部费用。实行固定综合单价总包干，具体采购数量以采购人全年实际需求量为准，由此产生的风险由投标供应商自行考虑并承担。</w:t>
      </w:r>
    </w:p>
    <w:p>
      <w:pPr>
        <w:numPr>
          <w:ilvl w:val="1"/>
          <w:numId w:val="9"/>
        </w:numPr>
        <w:tabs>
          <w:tab w:val="left" w:pos="54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投标人必须按附件中的报价一览表（统一格式）的内容填写报价，并由法定代表人（法定负责人）或授权代表签署。</w:t>
      </w:r>
    </w:p>
    <w:p>
      <w:pPr>
        <w:numPr>
          <w:ilvl w:val="1"/>
          <w:numId w:val="9"/>
        </w:numPr>
        <w:tabs>
          <w:tab w:val="left" w:pos="54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采购人不接受任何选择报价，只允许一个报价。</w:t>
      </w:r>
    </w:p>
    <w:p>
      <w:pPr>
        <w:numPr>
          <w:ilvl w:val="1"/>
          <w:numId w:val="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投标人所报的投标价在合同执行过程中是固定不变的，不得以任何理由予以变更。任何包含价格调整的要求，将被认为是非实质性响应投标而予以拒绝。所有的投标报价均为货物到采购人指定的工地价。</w:t>
      </w:r>
    </w:p>
    <w:p>
      <w:pPr>
        <w:numPr>
          <w:ilvl w:val="1"/>
          <w:numId w:val="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最低报价不作为中标的保证。</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投标保证金</w:t>
      </w:r>
    </w:p>
    <w:p>
      <w:pPr>
        <w:numPr>
          <w:ilvl w:val="1"/>
          <w:numId w:val="10"/>
        </w:numPr>
        <w:tabs>
          <w:tab w:val="left" w:pos="535"/>
        </w:tabs>
        <w:overflowPunct w:val="0"/>
        <w:spacing w:line="460" w:lineRule="exact"/>
        <w:ind w:left="535" w:hanging="535"/>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投标人须提供由其汇出的投标保证金（金额详见采购公告内容），否则采购人将不接受其投标。</w:t>
      </w:r>
    </w:p>
    <w:p>
      <w:pPr>
        <w:numPr>
          <w:ilvl w:val="1"/>
          <w:numId w:val="11"/>
        </w:numPr>
        <w:tabs>
          <w:tab w:val="left" w:pos="54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中标人的投标保证金在中标人与采购人签订了合同</w:t>
      </w:r>
      <w:r>
        <w:rPr>
          <w:rFonts w:hint="eastAsia" w:ascii="新宋体" w:hAnsi="新宋体" w:eastAsia="新宋体" w:cs="新宋体"/>
          <w:color w:val="auto"/>
          <w:sz w:val="22"/>
          <w:szCs w:val="22"/>
          <w:highlight w:val="none"/>
        </w:rPr>
        <w:t>并合同经备案后5个工作日内无息退还，未中标的投标人的投标保证金将在确定中标人后5个工作日内无息退还。</w:t>
      </w:r>
    </w:p>
    <w:p>
      <w:pPr>
        <w:numPr>
          <w:ilvl w:val="1"/>
          <w:numId w:val="10"/>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如发生下列情况之一，投标保证金将不予退还：</w:t>
      </w:r>
    </w:p>
    <w:p>
      <w:pPr>
        <w:numPr>
          <w:ilvl w:val="0"/>
          <w:numId w:val="12"/>
        </w:numPr>
        <w:tabs>
          <w:tab w:val="left" w:pos="360"/>
        </w:tabs>
        <w:overflowPunct w:val="0"/>
        <w:spacing w:line="43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投标人在采购文件规定的投标有效期内撤回投标的；</w:t>
      </w:r>
    </w:p>
    <w:p>
      <w:pPr>
        <w:numPr>
          <w:ilvl w:val="0"/>
          <w:numId w:val="12"/>
        </w:numPr>
        <w:tabs>
          <w:tab w:val="left" w:pos="360"/>
        </w:tabs>
        <w:overflowPunct w:val="0"/>
        <w:spacing w:line="43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中标人未按中标（成交）通知书中规定的时间与采购人签订合同的；</w:t>
      </w:r>
    </w:p>
    <w:p>
      <w:pPr>
        <w:numPr>
          <w:ilvl w:val="0"/>
          <w:numId w:val="12"/>
        </w:numPr>
        <w:tabs>
          <w:tab w:val="left" w:pos="360"/>
        </w:tabs>
        <w:overflowPunct w:val="0"/>
        <w:spacing w:line="43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经查实，投标人在投标过程中串通投标或弄虚作假的；</w:t>
      </w:r>
    </w:p>
    <w:p>
      <w:pPr>
        <w:numPr>
          <w:ilvl w:val="0"/>
          <w:numId w:val="12"/>
        </w:numPr>
        <w:tabs>
          <w:tab w:val="left" w:pos="360"/>
        </w:tabs>
        <w:overflowPunct w:val="0"/>
        <w:spacing w:line="43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经采购监督管理部门审查认定投标人有违反国家有关法律法规行为的。</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投标有效期</w:t>
      </w:r>
    </w:p>
    <w:p>
      <w:pPr>
        <w:numPr>
          <w:ilvl w:val="1"/>
          <w:numId w:val="13"/>
        </w:numPr>
        <w:tabs>
          <w:tab w:val="left" w:pos="642"/>
        </w:tabs>
        <w:overflowPunct w:val="0"/>
        <w:spacing w:line="460" w:lineRule="exact"/>
        <w:ind w:left="535" w:hanging="535"/>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自开标之日起</w:t>
      </w:r>
      <w:r>
        <w:rPr>
          <w:rFonts w:hint="eastAsia" w:ascii="新宋体" w:hAnsi="新宋体" w:eastAsia="新宋体" w:cs="新宋体"/>
          <w:b/>
          <w:color w:val="auto"/>
          <w:sz w:val="22"/>
          <w:szCs w:val="22"/>
          <w:highlight w:val="none"/>
          <w:u w:val="single"/>
        </w:rPr>
        <w:t>90</w:t>
      </w:r>
      <w:r>
        <w:rPr>
          <w:rFonts w:hint="eastAsia" w:ascii="新宋体" w:hAnsi="新宋体" w:eastAsia="新宋体" w:cs="新宋体"/>
          <w:b/>
          <w:color w:val="auto"/>
          <w:sz w:val="22"/>
          <w:szCs w:val="22"/>
          <w:highlight w:val="none"/>
        </w:rPr>
        <w:t>天内投标应保持有效。投标有效期短于这个规定期限的投标将视为非响应性投标而予以拒绝。</w:t>
      </w:r>
    </w:p>
    <w:p>
      <w:pPr>
        <w:numPr>
          <w:ilvl w:val="1"/>
          <w:numId w:val="13"/>
        </w:numPr>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投标文件的签署和规定</w:t>
      </w:r>
    </w:p>
    <w:p>
      <w:pPr>
        <w:numPr>
          <w:ilvl w:val="1"/>
          <w:numId w:val="14"/>
        </w:numPr>
        <w:tabs>
          <w:tab w:val="left" w:pos="642"/>
        </w:tabs>
        <w:overflowPunct w:val="0"/>
        <w:spacing w:line="460" w:lineRule="exact"/>
        <w:ind w:left="642" w:hanging="64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提供技术资信标、商务（报价）标各一式六份的投标文件，分别装订成册。其中正本一份、副本五份，每套投标文件的封面应清楚标明“正本”或“副本”字样，若“正本”与“副本”不符，以“正本”为准。</w:t>
      </w:r>
    </w:p>
    <w:p>
      <w:pPr>
        <w:numPr>
          <w:ilvl w:val="1"/>
          <w:numId w:val="14"/>
        </w:numPr>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投标文件的正本必须打印或用不褪色的墨水书写，并由法定代表人（法定负责人）或其授权代表签署，副本可用正本的复印。</w:t>
      </w:r>
    </w:p>
    <w:p>
      <w:pPr>
        <w:numPr>
          <w:ilvl w:val="1"/>
          <w:numId w:val="14"/>
        </w:numPr>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投标文件如有修改和增删必须加盖单位公章，方才有效。</w:t>
      </w:r>
    </w:p>
    <w:p>
      <w:pPr>
        <w:numPr>
          <w:ilvl w:val="1"/>
          <w:numId w:val="14"/>
        </w:numPr>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投标文件字迹模糊或在关键的技术、商务条款上表述不清楚，将可能导致其投标被拒绝。</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投标文件的密封及标记</w:t>
      </w:r>
    </w:p>
    <w:p>
      <w:pPr>
        <w:numPr>
          <w:ilvl w:val="1"/>
          <w:numId w:val="15"/>
        </w:numPr>
        <w:tabs>
          <w:tab w:val="left" w:pos="642"/>
        </w:tabs>
        <w:overflowPunct w:val="0"/>
        <w:spacing w:line="460" w:lineRule="exact"/>
        <w:ind w:left="642" w:hanging="64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必须将投标文件的“技术资信标”“商务（报价）标”分别单独密封，且在各自的密封袋上标明“技术资信标”和“商务（报价）标”字样。封口处贴上封条，启封处加盖投标单位公章或由法定代表人（法定负责人）或其授权代表签字（或盖章）。封皮上写明投标项目名称、项目编号，并注明“开标时启封”字样。</w:t>
      </w:r>
    </w:p>
    <w:p>
      <w:pPr>
        <w:numPr>
          <w:ilvl w:val="1"/>
          <w:numId w:val="15"/>
        </w:numPr>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如果投标人未按上述要求密封及加写标记，采购人对投标文件的误投和提前启封不负责任。</w:t>
      </w:r>
    </w:p>
    <w:p>
      <w:pPr>
        <w:overflowPunct w:val="0"/>
        <w:spacing w:before="100" w:beforeAutospacing="1" w:after="100" w:afterAutospacing="1" w:line="440" w:lineRule="exact"/>
        <w:ind w:left="783" w:hanging="783" w:hangingChars="300"/>
        <w:jc w:val="center"/>
        <w:outlineLvl w:val="0"/>
        <w:rPr>
          <w:rFonts w:ascii="新宋体" w:hAnsi="新宋体" w:eastAsia="新宋体" w:cs="新宋体"/>
          <w:color w:val="auto"/>
          <w:sz w:val="22"/>
          <w:szCs w:val="22"/>
          <w:highlight w:val="none"/>
        </w:rPr>
      </w:pPr>
      <w:bookmarkStart w:id="94" w:name="_Toc522645675"/>
      <w:bookmarkStart w:id="95" w:name="_Toc221374626"/>
      <w:bookmarkStart w:id="96" w:name="_Toc241404202"/>
      <w:bookmarkStart w:id="97" w:name="_Toc239145354"/>
      <w:bookmarkStart w:id="98" w:name="_Toc3799547"/>
      <w:bookmarkStart w:id="99" w:name="_Toc221356951"/>
      <w:bookmarkStart w:id="100" w:name="_Toc221356887"/>
      <w:bookmarkStart w:id="101" w:name="_Toc222114879"/>
      <w:bookmarkStart w:id="102" w:name="_Toc251592737"/>
      <w:bookmarkStart w:id="103" w:name="_Toc246261265"/>
      <w:bookmarkStart w:id="104" w:name="_Toc245191314"/>
      <w:bookmarkStart w:id="105" w:name="_Toc252194852"/>
      <w:bookmarkStart w:id="106" w:name="_Toc245722281"/>
      <w:bookmarkStart w:id="107" w:name="_Toc251325214"/>
      <w:bookmarkStart w:id="108" w:name="_Toc223715998"/>
      <w:bookmarkStart w:id="109" w:name="_Toc221423619"/>
      <w:r>
        <w:rPr>
          <w:rFonts w:hint="eastAsia" w:ascii="新宋体" w:hAnsi="新宋体" w:eastAsia="新宋体" w:cs="新宋体"/>
          <w:b/>
          <w:bCs/>
          <w:color w:val="auto"/>
          <w:sz w:val="26"/>
          <w:szCs w:val="26"/>
          <w:highlight w:val="none"/>
        </w:rPr>
        <w:t>四、 投标文件的递交</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投标文件的递交</w:t>
      </w:r>
    </w:p>
    <w:p>
      <w:pPr>
        <w:numPr>
          <w:ilvl w:val="1"/>
          <w:numId w:val="16"/>
        </w:numPr>
        <w:tabs>
          <w:tab w:val="left" w:pos="535"/>
        </w:tabs>
        <w:overflowPunct w:val="0"/>
        <w:spacing w:line="460" w:lineRule="exact"/>
        <w:ind w:left="535" w:hanging="5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投标文件必须在规定的投标截止时间前送达到指定的收标地点。</w:t>
      </w:r>
    </w:p>
    <w:p>
      <w:pPr>
        <w:numPr>
          <w:ilvl w:val="1"/>
          <w:numId w:val="16"/>
        </w:numPr>
        <w:tabs>
          <w:tab w:val="left" w:pos="540"/>
        </w:tabs>
        <w:overflowPunct w:val="0"/>
        <w:spacing w:line="46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投标人在</w:t>
      </w:r>
      <w:bookmarkStart w:id="110" w:name="_Hlk522094574"/>
      <w:r>
        <w:rPr>
          <w:rFonts w:hint="eastAsia" w:ascii="新宋体" w:hAnsi="新宋体" w:eastAsia="新宋体" w:cs="新宋体"/>
          <w:b/>
          <w:color w:val="auto"/>
          <w:sz w:val="22"/>
          <w:szCs w:val="22"/>
          <w:highlight w:val="none"/>
        </w:rPr>
        <w:t>递交</w:t>
      </w:r>
      <w:bookmarkEnd w:id="110"/>
      <w:r>
        <w:rPr>
          <w:rFonts w:hint="eastAsia" w:ascii="新宋体" w:hAnsi="新宋体" w:eastAsia="新宋体" w:cs="新宋体"/>
          <w:b/>
          <w:color w:val="auto"/>
          <w:sz w:val="22"/>
          <w:szCs w:val="22"/>
          <w:highlight w:val="none"/>
        </w:rPr>
        <w:t>投标文件同时递交以下证明文件：</w:t>
      </w:r>
    </w:p>
    <w:p>
      <w:pPr>
        <w:numPr>
          <w:ilvl w:val="0"/>
          <w:numId w:val="17"/>
        </w:numPr>
        <w:tabs>
          <w:tab w:val="left" w:pos="1070"/>
        </w:tabs>
        <w:overflowPunct w:val="0"/>
        <w:spacing w:line="460" w:lineRule="exact"/>
        <w:ind w:left="1070" w:hanging="428"/>
        <w:rPr>
          <w:rFonts w:ascii="新宋体" w:hAnsi="新宋体" w:eastAsia="新宋体" w:cs="新宋体"/>
          <w:bCs/>
          <w:color w:val="auto"/>
          <w:sz w:val="22"/>
          <w:szCs w:val="22"/>
          <w:highlight w:val="none"/>
        </w:rPr>
      </w:pPr>
      <w:r>
        <w:rPr>
          <w:rFonts w:hint="eastAsia" w:ascii="新宋体" w:hAnsi="新宋体" w:eastAsia="新宋体" w:cs="新宋体"/>
          <w:b/>
          <w:bCs w:val="0"/>
          <w:color w:val="auto"/>
          <w:sz w:val="22"/>
          <w:szCs w:val="22"/>
          <w:highlight w:val="none"/>
        </w:rPr>
        <w:t>投标保证金</w:t>
      </w:r>
      <w:r>
        <w:rPr>
          <w:rFonts w:hint="eastAsia" w:ascii="新宋体" w:hAnsi="新宋体" w:eastAsia="新宋体" w:cs="新宋体"/>
          <w:b/>
          <w:bCs w:val="0"/>
          <w:color w:val="auto"/>
          <w:sz w:val="22"/>
          <w:szCs w:val="22"/>
          <w:highlight w:val="none"/>
          <w:lang w:val="en-US" w:eastAsia="zh-CN"/>
        </w:rPr>
        <w:t>纸质</w:t>
      </w:r>
      <w:r>
        <w:rPr>
          <w:rFonts w:hint="eastAsia" w:ascii="新宋体" w:hAnsi="新宋体" w:eastAsia="新宋体" w:cs="新宋体"/>
          <w:b/>
          <w:bCs w:val="0"/>
          <w:color w:val="auto"/>
          <w:sz w:val="22"/>
          <w:szCs w:val="22"/>
          <w:highlight w:val="none"/>
        </w:rPr>
        <w:t>汇款凭证</w:t>
      </w:r>
      <w:r>
        <w:rPr>
          <w:rFonts w:hint="eastAsia" w:ascii="新宋体" w:hAnsi="新宋体" w:eastAsia="新宋体" w:cs="新宋体"/>
          <w:bCs/>
          <w:color w:val="auto"/>
          <w:sz w:val="22"/>
          <w:szCs w:val="22"/>
          <w:highlight w:val="none"/>
        </w:rPr>
        <w:t>（以实际到账为准）</w:t>
      </w:r>
    </w:p>
    <w:p>
      <w:pPr>
        <w:numPr>
          <w:ilvl w:val="0"/>
          <w:numId w:val="17"/>
        </w:numPr>
        <w:tabs>
          <w:tab w:val="left" w:pos="1070"/>
        </w:tabs>
        <w:overflowPunct w:val="0"/>
        <w:spacing w:line="460" w:lineRule="exact"/>
        <w:ind w:left="1070" w:hanging="428"/>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法定代表人（法定负责人）授权书原件,如法定代表人（法定负责人）授权书原件密封在投标文件技术资信标中，在技术资信标开启后经查验符合要求亦为有效；</w:t>
      </w:r>
    </w:p>
    <w:p>
      <w:pPr>
        <w:numPr>
          <w:ilvl w:val="0"/>
          <w:numId w:val="17"/>
        </w:numPr>
        <w:tabs>
          <w:tab w:val="left" w:pos="1070"/>
        </w:tabs>
        <w:overflowPunct w:val="0"/>
        <w:spacing w:line="460" w:lineRule="exact"/>
        <w:ind w:left="1070" w:hanging="428"/>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营业执照（或法人登记证书）复制件（加盖公章，如密封在投标文件技术资信标中，在技术资信标开启后经查验符合要求亦为有效）。</w:t>
      </w:r>
      <w:bookmarkStart w:id="243" w:name="_GoBack"/>
      <w:bookmarkEnd w:id="243"/>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投标文件的修改和撤回</w:t>
      </w:r>
    </w:p>
    <w:p>
      <w:pPr>
        <w:numPr>
          <w:ilvl w:val="1"/>
          <w:numId w:val="18"/>
        </w:numPr>
        <w:tabs>
          <w:tab w:val="left" w:pos="535"/>
        </w:tabs>
        <w:overflowPunct w:val="0"/>
        <w:spacing w:line="460" w:lineRule="exact"/>
        <w:ind w:left="535" w:hanging="535"/>
        <w:rPr>
          <w:rFonts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在投标截止时间前，投标人可以用书面形式提出修改或撤回其投标并送达到采购人，但不得影响开标活动的正常进行。</w:t>
      </w:r>
    </w:p>
    <w:p>
      <w:pPr>
        <w:numPr>
          <w:ilvl w:val="1"/>
          <w:numId w:val="18"/>
        </w:numPr>
        <w:tabs>
          <w:tab w:val="left" w:pos="54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“投标文件修改”或“投标文件撤回通知”都应密封并在密封袋上写明投标项目名称、编号、投标单位名称，并注明“投标文件修改”或“投标文件撤回通知”字样。</w:t>
      </w:r>
    </w:p>
    <w:p>
      <w:pPr>
        <w:numPr>
          <w:ilvl w:val="1"/>
          <w:numId w:val="18"/>
        </w:numPr>
        <w:tabs>
          <w:tab w:val="left" w:pos="540"/>
        </w:tabs>
        <w:overflowPunct w:val="0"/>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从投标截止日期起至投标有效期满这段时间内，投标人不得撤回其投标，否则投标保证金将</w:t>
      </w:r>
      <w:r>
        <w:rPr>
          <w:rFonts w:hint="eastAsia" w:ascii="新宋体" w:hAnsi="新宋体" w:eastAsia="新宋体" w:cs="新宋体"/>
          <w:color w:val="auto"/>
          <w:sz w:val="22"/>
          <w:szCs w:val="22"/>
          <w:highlight w:val="none"/>
        </w:rPr>
        <w:t>被不予退还。</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发生下列情况之一的投标文件将拒收：</w:t>
      </w:r>
    </w:p>
    <w:p>
      <w:pPr>
        <w:numPr>
          <w:ilvl w:val="1"/>
          <w:numId w:val="19"/>
        </w:numPr>
        <w:tabs>
          <w:tab w:val="left" w:pos="535"/>
        </w:tabs>
        <w:overflowPunct w:val="0"/>
        <w:spacing w:line="460" w:lineRule="exact"/>
        <w:ind w:left="535" w:hanging="535"/>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在投标截止时间以后送达的投标文件；</w:t>
      </w:r>
    </w:p>
    <w:p>
      <w:pPr>
        <w:numPr>
          <w:ilvl w:val="1"/>
          <w:numId w:val="1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未递交投标保证金；</w:t>
      </w:r>
    </w:p>
    <w:p>
      <w:pPr>
        <w:numPr>
          <w:ilvl w:val="1"/>
          <w:numId w:val="1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未密封或未装订的投标文件及由于包装不妥在送达途中严重破损或失散的投标文件；</w:t>
      </w:r>
    </w:p>
    <w:p>
      <w:pPr>
        <w:numPr>
          <w:ilvl w:val="1"/>
          <w:numId w:val="1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技术资信标与商务（报价）标未分别包装密封的投标文件；</w:t>
      </w:r>
    </w:p>
    <w:p>
      <w:pPr>
        <w:numPr>
          <w:ilvl w:val="1"/>
          <w:numId w:val="1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以电讯形式递交的投标文件；</w:t>
      </w:r>
    </w:p>
    <w:p>
      <w:pPr>
        <w:numPr>
          <w:ilvl w:val="1"/>
          <w:numId w:val="19"/>
        </w:numPr>
        <w:tabs>
          <w:tab w:val="left" w:pos="540"/>
        </w:tabs>
        <w:overflowPunct w:val="0"/>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未购买采购文件。</w:t>
      </w:r>
    </w:p>
    <w:p>
      <w:pPr>
        <w:tabs>
          <w:tab w:val="left" w:pos="360"/>
          <w:tab w:val="left" w:pos="540"/>
          <w:tab w:val="left" w:pos="1260"/>
        </w:tabs>
        <w:overflowPunct w:val="0"/>
        <w:spacing w:before="100" w:beforeAutospacing="1" w:after="100" w:afterAutospacing="1" w:line="440" w:lineRule="exact"/>
        <w:ind w:left="919" w:hanging="919" w:hangingChars="352"/>
        <w:jc w:val="center"/>
        <w:outlineLvl w:val="0"/>
        <w:rPr>
          <w:rFonts w:ascii="新宋体" w:hAnsi="新宋体" w:eastAsia="新宋体" w:cs="新宋体"/>
          <w:color w:val="auto"/>
          <w:sz w:val="22"/>
          <w:szCs w:val="22"/>
          <w:highlight w:val="none"/>
        </w:rPr>
      </w:pPr>
      <w:bookmarkStart w:id="111" w:name="_Toc223715999"/>
      <w:bookmarkStart w:id="112" w:name="_Toc251592738"/>
      <w:bookmarkStart w:id="113" w:name="_Toc241404203"/>
      <w:bookmarkStart w:id="114" w:name="_Toc246261266"/>
      <w:bookmarkStart w:id="115" w:name="_Toc3799548"/>
      <w:bookmarkStart w:id="116" w:name="_Toc221356952"/>
      <w:bookmarkStart w:id="117" w:name="_Toc245722282"/>
      <w:bookmarkStart w:id="118" w:name="_Toc239145355"/>
      <w:bookmarkStart w:id="119" w:name="_Toc522645676"/>
      <w:bookmarkStart w:id="120" w:name="_Toc245191315"/>
      <w:bookmarkStart w:id="121" w:name="_Toc252194853"/>
      <w:bookmarkStart w:id="122" w:name="_Toc221423620"/>
      <w:bookmarkStart w:id="123" w:name="_Toc251325215"/>
      <w:bookmarkStart w:id="124" w:name="_Toc222114880"/>
      <w:bookmarkStart w:id="125" w:name="_Toc221356888"/>
      <w:bookmarkStart w:id="126" w:name="_Toc221374627"/>
      <w:r>
        <w:rPr>
          <w:rFonts w:hint="eastAsia" w:ascii="新宋体" w:hAnsi="新宋体" w:eastAsia="新宋体" w:cs="新宋体"/>
          <w:b/>
          <w:bCs/>
          <w:color w:val="auto"/>
          <w:sz w:val="26"/>
          <w:szCs w:val="26"/>
          <w:highlight w:val="none"/>
        </w:rPr>
        <w:t>五、 开标和评标</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bookmarkStart w:id="127" w:name="_Toc252194854"/>
      <w:bookmarkStart w:id="128" w:name="_Toc221423621"/>
      <w:bookmarkStart w:id="129" w:name="_Toc223716000"/>
      <w:bookmarkStart w:id="130" w:name="_Toc221374628"/>
      <w:bookmarkStart w:id="131" w:name="_Toc241404204"/>
      <w:bookmarkStart w:id="132" w:name="_Toc239145356"/>
      <w:bookmarkStart w:id="133" w:name="_Toc222114881"/>
      <w:bookmarkStart w:id="134" w:name="_Toc251592739"/>
      <w:bookmarkStart w:id="135" w:name="_Toc245722283"/>
      <w:bookmarkStart w:id="136" w:name="_Toc221356889"/>
      <w:bookmarkStart w:id="137" w:name="_Toc221356953"/>
      <w:bookmarkStart w:id="138" w:name="_Toc245191316"/>
      <w:bookmarkStart w:id="139" w:name="_Toc246261267"/>
      <w:bookmarkStart w:id="140" w:name="_Toc251325216"/>
      <w:r>
        <w:rPr>
          <w:rFonts w:hint="eastAsia" w:ascii="新宋体" w:hAnsi="新宋体" w:eastAsia="新宋体" w:cs="新宋体"/>
          <w:color w:val="auto"/>
          <w:sz w:val="22"/>
          <w:szCs w:val="22"/>
          <w:highlight w:val="none"/>
        </w:rPr>
        <w:t>评标委员会</w:t>
      </w:r>
    </w:p>
    <w:p>
      <w:pPr>
        <w:tabs>
          <w:tab w:val="left" w:pos="540"/>
        </w:tabs>
        <w:overflowPunct w:val="0"/>
        <w:spacing w:line="460" w:lineRule="exact"/>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评标委员会成员由采购人依法组建。</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评标过程的保密性</w:t>
      </w:r>
    </w:p>
    <w:p>
      <w:pPr>
        <w:overflowPunct w:val="0"/>
        <w:spacing w:line="440" w:lineRule="exact"/>
        <w:ind w:left="540" w:leftChars="257"/>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凡与评审有关的资料均不得向投标人及与评标无关人员透露。如果投标人在评标过程中试图向采购人、采购代理机构或评标委员会成员施加影响，其投标将被拒绝。</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开标、评标</w:t>
      </w:r>
    </w:p>
    <w:p>
      <w:pPr>
        <w:numPr>
          <w:ilvl w:val="1"/>
          <w:numId w:val="20"/>
        </w:numPr>
        <w:tabs>
          <w:tab w:val="left" w:pos="535"/>
        </w:tabs>
        <w:overflowPunct w:val="0"/>
        <w:spacing w:line="440" w:lineRule="exact"/>
        <w:ind w:left="535" w:hanging="535"/>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采购代理机构按采购文件规定的时间、地点开启技术资信标。开标前，首先检查技术资信标的密封情况，确认无误后开启“技术资信标”。</w:t>
      </w:r>
    </w:p>
    <w:p>
      <w:pPr>
        <w:numPr>
          <w:ilvl w:val="1"/>
          <w:numId w:val="20"/>
        </w:numPr>
        <w:tabs>
          <w:tab w:val="left" w:pos="535"/>
        </w:tabs>
        <w:overflowPunct w:val="0"/>
        <w:spacing w:line="440" w:lineRule="exact"/>
        <w:ind w:left="535" w:hanging="535"/>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投标文件的初审。初审分为资格审查和符合性检查。</w:t>
      </w:r>
    </w:p>
    <w:p>
      <w:pPr>
        <w:overflowPunct w:val="0"/>
        <w:spacing w:line="440" w:lineRule="exact"/>
        <w:ind w:left="330" w:hanging="330" w:hangingChars="15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w:t>
      </w:r>
      <w:r>
        <w:rPr>
          <w:rFonts w:hint="eastAsia" w:ascii="新宋体" w:hAnsi="新宋体" w:eastAsia="新宋体" w:cs="新宋体"/>
          <w:b/>
          <w:color w:val="auto"/>
          <w:sz w:val="22"/>
          <w:szCs w:val="22"/>
          <w:highlight w:val="none"/>
        </w:rPr>
        <w:t>资格审查。依据法律、法规和采购文件的规定，采购人授权评标委员会对各投标人进行资格审查，审查内容包括但不仅限于投标文件所提交证明材料是否能证明符合本项目对合格投标人的实质性要求。通过资格审查视作具备投标资格，审查不合格的投标文件将不进入后续详细评审。</w:t>
      </w:r>
    </w:p>
    <w:p>
      <w:pPr>
        <w:overflowPunct w:val="0"/>
        <w:spacing w:line="440" w:lineRule="exact"/>
        <w:ind w:left="330" w:hanging="330" w:hangingChars="15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符合性检查。评标委员会依据采购文件的规定，从投标文件中的有效性、完整性和对采购文件的响应程度进行审查，以确定是否对采购文件的实质性要求作出响应。</w:t>
      </w:r>
    </w:p>
    <w:p>
      <w:pPr>
        <w:numPr>
          <w:ilvl w:val="1"/>
          <w:numId w:val="20"/>
        </w:numPr>
        <w:tabs>
          <w:tab w:val="left" w:pos="540"/>
        </w:tabs>
        <w:overflowPunct w:val="0"/>
        <w:spacing w:line="440" w:lineRule="exact"/>
        <w:ind w:left="540" w:hanging="54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u w:val="single"/>
        </w:rPr>
        <w:t>▲在对各投标人的投标文件进行综合评审时，投标文件有下列情况之一的，经评标委员会认定后按无效标处理</w:t>
      </w:r>
      <w:r>
        <w:rPr>
          <w:rFonts w:hint="eastAsia" w:ascii="新宋体" w:hAnsi="新宋体" w:eastAsia="新宋体" w:cs="新宋体"/>
          <w:b/>
          <w:bCs/>
          <w:color w:val="auto"/>
          <w:sz w:val="22"/>
          <w:szCs w:val="22"/>
          <w:highlight w:val="none"/>
        </w:rPr>
        <w:t>：</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未按照采购文件的规定提交投标保证金的；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投标文件未按要求加盖单位公章、无法定代表人（法定负责人）签字或其授权代表签字的；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明显不符合采购文件中主要技术规格、技术资信标准或服务要求的；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投标文件实质性内容不全或关键字迹模糊无法辨认的；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投标人投标报价超过采购预算或综合单价最高限价；</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投标文件附有采购人不能接受的条件；</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投标文件技术资信标未装订成册的；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授权代表没有法定代表人（法定负责人）合法、有效委托的；</w:t>
      </w:r>
    </w:p>
    <w:p>
      <w:pPr>
        <w:numPr>
          <w:ilvl w:val="0"/>
          <w:numId w:val="21"/>
        </w:numPr>
        <w:overflowPunct w:val="0"/>
        <w:spacing w:line="44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投标人提交的投标文件相关证书、材料经评标委员会认定有弄虚作假情况的；</w:t>
      </w:r>
    </w:p>
    <w:p>
      <w:pPr>
        <w:numPr>
          <w:ilvl w:val="0"/>
          <w:numId w:val="21"/>
        </w:numPr>
        <w:overflowPunct w:val="0"/>
        <w:spacing w:line="440" w:lineRule="exact"/>
        <w:rPr>
          <w:rFonts w:ascii="新宋体" w:hAnsi="新宋体" w:eastAsia="新宋体" w:cs="新宋体"/>
          <w:color w:val="auto"/>
          <w:sz w:val="22"/>
          <w:szCs w:val="22"/>
          <w:highlight w:val="none"/>
          <w:u w:val="single"/>
        </w:rPr>
      </w:pPr>
      <w:r>
        <w:rPr>
          <w:rFonts w:hint="eastAsia" w:ascii="新宋体" w:hAnsi="新宋体" w:eastAsia="新宋体" w:cs="新宋体"/>
          <w:b/>
          <w:color w:val="auto"/>
          <w:sz w:val="22"/>
          <w:szCs w:val="22"/>
          <w:highlight w:val="none"/>
          <w:u w:val="single"/>
        </w:rPr>
        <w:t>评标委员会认定不符合法律、法规和采购文件中规定的其他实质性要求的</w:t>
      </w:r>
      <w:r>
        <w:rPr>
          <w:rFonts w:hint="eastAsia" w:ascii="新宋体" w:hAnsi="新宋体" w:eastAsia="新宋体" w:cs="新宋体"/>
          <w:color w:val="auto"/>
          <w:sz w:val="22"/>
          <w:szCs w:val="22"/>
          <w:highlight w:val="none"/>
          <w:u w:val="single"/>
        </w:rPr>
        <w:t>。</w:t>
      </w:r>
    </w:p>
    <w:p>
      <w:pPr>
        <w:numPr>
          <w:ilvl w:val="1"/>
          <w:numId w:val="20"/>
        </w:numPr>
        <w:tabs>
          <w:tab w:val="left" w:pos="540"/>
        </w:tabs>
        <w:overflowPunct w:val="0"/>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开启商务（报价）标</w:t>
      </w:r>
    </w:p>
    <w:p>
      <w:pPr>
        <w:numPr>
          <w:ilvl w:val="0"/>
          <w:numId w:val="22"/>
        </w:numPr>
        <w:tabs>
          <w:tab w:val="left" w:pos="720"/>
        </w:tabs>
        <w:overflowPunct w:val="0"/>
        <w:spacing w:line="44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开商务（报价）标时邀请所有投标人代表参加，参加开标的代表应准时出席并签名报到以证明其出席。投标人代表未参加开标会的，事后不得对开标过程和开标结果提出异议。</w:t>
      </w:r>
    </w:p>
    <w:p>
      <w:pPr>
        <w:numPr>
          <w:ilvl w:val="0"/>
          <w:numId w:val="22"/>
        </w:numPr>
        <w:tabs>
          <w:tab w:val="left" w:pos="720"/>
        </w:tabs>
        <w:overflowPunct w:val="0"/>
        <w:spacing w:line="44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宣布对各投标人有效身份证件、投标保证金等审查结果和技术资信标得分情况。</w:t>
      </w:r>
    </w:p>
    <w:p>
      <w:pPr>
        <w:numPr>
          <w:ilvl w:val="0"/>
          <w:numId w:val="22"/>
        </w:numPr>
        <w:tabs>
          <w:tab w:val="left" w:pos="720"/>
        </w:tabs>
        <w:overflowPunct w:val="0"/>
        <w:spacing w:line="44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检查有效投标人“商务（报价）标”的密封情况，确认无误后开启“商务（报价）标”，宣读“报价一览表”全部内容。</w:t>
      </w:r>
      <w:r>
        <w:rPr>
          <w:rFonts w:hint="eastAsia" w:ascii="新宋体" w:hAnsi="新宋体" w:eastAsia="新宋体" w:cs="新宋体"/>
          <w:b/>
          <w:color w:val="auto"/>
          <w:sz w:val="22"/>
          <w:szCs w:val="22"/>
          <w:highlight w:val="none"/>
        </w:rPr>
        <w:t>唱读结束后，投标人代表应对宣读内容及记录结果当场进行校核和签字确认，如有异议应当场提出，否则视为默许同意。</w:t>
      </w:r>
    </w:p>
    <w:p>
      <w:pPr>
        <w:numPr>
          <w:ilvl w:val="0"/>
          <w:numId w:val="22"/>
        </w:numPr>
        <w:tabs>
          <w:tab w:val="left" w:pos="720"/>
        </w:tabs>
        <w:overflowPunct w:val="0"/>
        <w:spacing w:line="44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开标时没有启封和宣读的投标文件，原封退回给投标人。</w:t>
      </w:r>
    </w:p>
    <w:p>
      <w:pPr>
        <w:numPr>
          <w:ilvl w:val="0"/>
          <w:numId w:val="22"/>
        </w:numPr>
        <w:tabs>
          <w:tab w:val="left" w:pos="720"/>
        </w:tabs>
        <w:overflowPunct w:val="0"/>
        <w:spacing w:line="440" w:lineRule="exact"/>
        <w:ind w:left="720" w:hanging="7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开商务（报价）标时，采购人指定专人作好记录，存档备查。</w:t>
      </w:r>
    </w:p>
    <w:p>
      <w:pPr>
        <w:numPr>
          <w:ilvl w:val="1"/>
          <w:numId w:val="20"/>
        </w:numPr>
        <w:tabs>
          <w:tab w:val="left" w:pos="540"/>
        </w:tabs>
        <w:overflowPunct w:val="0"/>
        <w:spacing w:line="440" w:lineRule="exact"/>
        <w:ind w:left="540" w:hanging="540"/>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在详细评标之前，评标委员会要审查每份投标文件是否实质上响应了采购文件的要求。实质上响应的投标应该是与采购文件要求的全部条款、条件和规格基本相符，没有重大偏离。</w:t>
      </w:r>
      <w:r>
        <w:rPr>
          <w:rFonts w:hint="eastAsia" w:ascii="新宋体" w:hAnsi="新宋体" w:eastAsia="新宋体" w:cs="新宋体"/>
          <w:b/>
          <w:bCs/>
          <w:color w:val="auto"/>
          <w:sz w:val="22"/>
          <w:szCs w:val="22"/>
          <w:highlight w:val="none"/>
        </w:rPr>
        <w:t>评标委员会决定投标的响应性只根据投标文件本身的内容，而不寻求外部的证据。</w:t>
      </w:r>
    </w:p>
    <w:p>
      <w:pPr>
        <w:numPr>
          <w:ilvl w:val="1"/>
          <w:numId w:val="20"/>
        </w:numPr>
        <w:tabs>
          <w:tab w:val="left" w:pos="540"/>
        </w:tabs>
        <w:overflowPunct w:val="0"/>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
          <w:bCs/>
          <w:color w:val="auto"/>
          <w:sz w:val="22"/>
          <w:szCs w:val="22"/>
          <w:highlight w:val="none"/>
        </w:rPr>
        <w:t>实质上没有响应采购文件要求的投标将被拒绝</w:t>
      </w:r>
      <w:r>
        <w:rPr>
          <w:rFonts w:hint="eastAsia" w:ascii="新宋体" w:hAnsi="新宋体" w:eastAsia="新宋体" w:cs="新宋体"/>
          <w:bCs/>
          <w:color w:val="auto"/>
          <w:sz w:val="22"/>
          <w:szCs w:val="22"/>
          <w:highlight w:val="none"/>
        </w:rPr>
        <w:t>，投标人不得通过修正或撤消不合要求的偏离或保留从而使其投标成为实质上响应的投标。</w:t>
      </w:r>
    </w:p>
    <w:p>
      <w:pPr>
        <w:numPr>
          <w:ilvl w:val="1"/>
          <w:numId w:val="20"/>
        </w:numPr>
        <w:tabs>
          <w:tab w:val="left" w:pos="540"/>
        </w:tabs>
        <w:overflowPunct w:val="0"/>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评标委员会对审查合格的投标文件按照采购文件中制订的评标方法进行综合评定打分。</w:t>
      </w:r>
    </w:p>
    <w:p>
      <w:pPr>
        <w:numPr>
          <w:ilvl w:val="1"/>
          <w:numId w:val="20"/>
        </w:numPr>
        <w:tabs>
          <w:tab w:val="left" w:pos="540"/>
        </w:tabs>
        <w:overflowPunct w:val="0"/>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评标过程中遇到特殊情况，由评标委员会遵循公开、公正原则，采取投票方式按照少数服从多数原则决定。</w:t>
      </w:r>
    </w:p>
    <w:p>
      <w:pPr>
        <w:numPr>
          <w:ilvl w:val="0"/>
          <w:numId w:val="5"/>
        </w:numPr>
        <w:tabs>
          <w:tab w:val="left" w:pos="420"/>
          <w:tab w:val="left" w:pos="540"/>
        </w:tabs>
        <w:spacing w:line="460" w:lineRule="exact"/>
        <w:ind w:left="540" w:hanging="54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根据《温州市市属国有企业采购管理办法（试行）》第三十三条规定“采购响应（指投标或谈判、报价）截止时间止及评审期间，出现有效供应商不足三家的情形，如采购文件事先已在指定媒体公开征求了供应商意见且无重大异议，或经专家论证且出具了“供应商资格条件和项目技术指标等没有歧视性和倾向性”意见的，同时采购信息已在本办法规定的媒体上公告，采购文件的发售和截止时间符合法定或本办法规定，由实质性响应的供应商认可后，可以按原采购方式继续进行采购活动，但采购项目第一次评审活动除外。”</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投标文件的澄清</w:t>
      </w:r>
    </w:p>
    <w:p>
      <w:pPr>
        <w:numPr>
          <w:ilvl w:val="1"/>
          <w:numId w:val="23"/>
        </w:numPr>
        <w:overflowPunct w:val="0"/>
        <w:spacing w:line="440" w:lineRule="exact"/>
        <w:ind w:left="567" w:hanging="567"/>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在评标期间，评标委员会可以书面方式要求投标人对投标文件中含义不明确、对同类问题表述不一致或者有明显文字和计算错误的内容作必要的澄清、说明或补正。澄清、说明或补正应以书面形式并由法人代表人（法定负责人）或授权代表签署，但澄清内容不得超出投标文件的范围或者改变投标文件的实质性内容。拒不按要求对其投标文件进行澄清，说明或补正的投标人，评标委员会可以否决其投标。</w:t>
      </w:r>
    </w:p>
    <w:p>
      <w:pPr>
        <w:numPr>
          <w:ilvl w:val="1"/>
          <w:numId w:val="23"/>
        </w:numPr>
        <w:overflowPunct w:val="0"/>
        <w:spacing w:line="440" w:lineRule="exact"/>
        <w:ind w:left="567" w:hanging="567"/>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3"/>
        </w:numPr>
        <w:overflowPunct w:val="0"/>
        <w:spacing w:line="440" w:lineRule="exact"/>
        <w:ind w:left="567" w:hanging="567"/>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经澄清后，若偏差仍存在，且不可接受，投标人则被认为是“没有实质性响应采购文件要求”，其投标不进入下一步评审。</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确定中标候选人</w:t>
      </w:r>
    </w:p>
    <w:p>
      <w:pPr>
        <w:numPr>
          <w:ilvl w:val="1"/>
          <w:numId w:val="24"/>
        </w:numPr>
        <w:overflowPunct w:val="0"/>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确定中标候选人详见采购文件第五部分“评标原则及方法”</w:t>
      </w:r>
      <w:r>
        <w:rPr>
          <w:rFonts w:hint="eastAsia" w:ascii="新宋体" w:hAnsi="新宋体" w:eastAsia="新宋体" w:cs="新宋体"/>
          <w:bCs/>
          <w:color w:val="auto"/>
          <w:sz w:val="22"/>
          <w:szCs w:val="22"/>
          <w:highlight w:val="none"/>
        </w:rPr>
        <w:t>。</w:t>
      </w:r>
    </w:p>
    <w:p>
      <w:pPr>
        <w:numPr>
          <w:ilvl w:val="1"/>
          <w:numId w:val="24"/>
        </w:numPr>
        <w:overflowPunct w:val="0"/>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采购人、采购代理机构及评标委员会无须向落标的投标人解释落标原因，也不公布评标过程中的相关细节。</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评标细则详见“评标原则及方法”。</w:t>
      </w:r>
    </w:p>
    <w:p>
      <w:pPr>
        <w:overflowPunct w:val="0"/>
        <w:spacing w:before="100" w:beforeAutospacing="1" w:after="100" w:afterAutospacing="1" w:line="440" w:lineRule="exact"/>
        <w:ind w:left="-6"/>
        <w:jc w:val="center"/>
        <w:outlineLvl w:val="0"/>
        <w:rPr>
          <w:rFonts w:ascii="新宋体" w:hAnsi="新宋体" w:eastAsia="新宋体" w:cs="新宋体"/>
          <w:b/>
          <w:bCs/>
          <w:color w:val="auto"/>
          <w:sz w:val="26"/>
          <w:szCs w:val="26"/>
          <w:highlight w:val="none"/>
        </w:rPr>
      </w:pPr>
      <w:bookmarkStart w:id="141" w:name="_Toc522645677"/>
      <w:bookmarkStart w:id="142" w:name="_Toc3799549"/>
      <w:r>
        <w:rPr>
          <w:rFonts w:hint="eastAsia" w:ascii="新宋体" w:hAnsi="新宋体" w:eastAsia="新宋体" w:cs="新宋体"/>
          <w:b/>
          <w:bCs/>
          <w:color w:val="auto"/>
          <w:sz w:val="26"/>
          <w:szCs w:val="26"/>
          <w:highlight w:val="none"/>
        </w:rPr>
        <w:t>六、 授予合同</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委员会推荐的中标候选人经采购人确认后在指定媒介上公示，各投标人对评标结果如有异议，可在规定时间内以书面形式向采购人进行署名投诉或提出质疑，但需对投诉或质疑内容的真实性承担法律责任。公示期结束后，采购人将根据评标委员会提交的书面评标报告和评审结果确定中标人。</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中标（成交）通知书</w:t>
      </w:r>
    </w:p>
    <w:p>
      <w:pPr>
        <w:numPr>
          <w:ilvl w:val="1"/>
          <w:numId w:val="25"/>
        </w:numPr>
        <w:overflowPunct w:val="0"/>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中标人确定后，采购人将向中标人发出中标（成交）通知书。 </w:t>
      </w:r>
    </w:p>
    <w:p>
      <w:pPr>
        <w:numPr>
          <w:ilvl w:val="1"/>
          <w:numId w:val="25"/>
        </w:numPr>
        <w:overflowPunct w:val="0"/>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中标（成交）通知书是合同的一个组成部分,对采购人和中标人均具有同等法律效力。</w:t>
      </w:r>
    </w:p>
    <w:p>
      <w:pPr>
        <w:numPr>
          <w:ilvl w:val="0"/>
          <w:numId w:val="5"/>
        </w:numPr>
        <w:tabs>
          <w:tab w:val="left" w:pos="420"/>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签订合同</w:t>
      </w:r>
    </w:p>
    <w:p>
      <w:pPr>
        <w:numPr>
          <w:ilvl w:val="1"/>
          <w:numId w:val="26"/>
        </w:numPr>
        <w:tabs>
          <w:tab w:val="left" w:pos="540"/>
        </w:tabs>
        <w:overflowPunct w:val="0"/>
        <w:spacing w:line="400" w:lineRule="exact"/>
        <w:rPr>
          <w:rFonts w:ascii="新宋体" w:hAnsi="新宋体" w:eastAsia="新宋体" w:cs="新宋体"/>
          <w:b/>
          <w:color w:val="auto"/>
          <w:spacing w:val="6"/>
          <w:sz w:val="22"/>
          <w:szCs w:val="22"/>
          <w:highlight w:val="none"/>
        </w:rPr>
      </w:pPr>
      <w:r>
        <w:rPr>
          <w:rFonts w:hint="eastAsia" w:ascii="新宋体" w:hAnsi="新宋体" w:eastAsia="新宋体" w:cs="新宋体"/>
          <w:color w:val="auto"/>
          <w:sz w:val="22"/>
          <w:szCs w:val="22"/>
          <w:highlight w:val="none"/>
        </w:rPr>
        <w:t>中标人应按中标通知书规定的时间、地点与采购人签订合同。</w:t>
      </w:r>
    </w:p>
    <w:p>
      <w:pPr>
        <w:numPr>
          <w:ilvl w:val="1"/>
          <w:numId w:val="26"/>
        </w:numPr>
        <w:tabs>
          <w:tab w:val="left" w:pos="540"/>
        </w:tabs>
        <w:overflowPunct w:val="0"/>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采购文件、中标人的投标文件、投标修改文件、评标过程中有关澄清文件及经投标人和评委双方签字的询标纪要和中标（成交）通知书均作为合同附件。</w:t>
      </w:r>
    </w:p>
    <w:p>
      <w:pPr>
        <w:numPr>
          <w:ilvl w:val="1"/>
          <w:numId w:val="26"/>
        </w:numPr>
        <w:tabs>
          <w:tab w:val="left" w:pos="540"/>
        </w:tabs>
        <w:overflowPunct w:val="0"/>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拒签合同的违约责任</w:t>
      </w:r>
    </w:p>
    <w:p>
      <w:pPr>
        <w:numPr>
          <w:ilvl w:val="1"/>
          <w:numId w:val="26"/>
        </w:numPr>
        <w:tabs>
          <w:tab w:val="left" w:pos="540"/>
        </w:tabs>
        <w:overflowPunct w:val="0"/>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中标人接到中标（成交）通知书后，在规定时间内借故否认已经承诺的条件而拒签合同的，以违约处理，其投标保证金将不予退还。</w:t>
      </w:r>
    </w:p>
    <w:p>
      <w:pPr>
        <w:numPr>
          <w:ilvl w:val="1"/>
          <w:numId w:val="26"/>
        </w:numPr>
        <w:tabs>
          <w:tab w:val="left" w:pos="540"/>
        </w:tabs>
        <w:overflowPunct w:val="0"/>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中标人应在合同签订后五个工作日内提交一份合同文本原件报采购代理机构备案，以免耽误投标保证金的退付。 </w:t>
      </w:r>
    </w:p>
    <w:p>
      <w:pPr>
        <w:numPr>
          <w:ilvl w:val="255"/>
          <w:numId w:val="0"/>
        </w:numPr>
        <w:tabs>
          <w:tab w:val="left" w:pos="420"/>
          <w:tab w:val="left" w:pos="540"/>
        </w:tabs>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29.采购代理服务费</w:t>
      </w:r>
    </w:p>
    <w:p>
      <w:pPr>
        <w:numPr>
          <w:ilvl w:val="255"/>
          <w:numId w:val="0"/>
        </w:numPr>
        <w:tabs>
          <w:tab w:val="left" w:pos="420"/>
          <w:tab w:val="left" w:pos="540"/>
        </w:tabs>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29.1本次采购代理服务费按固定金额人民币</w:t>
      </w:r>
      <w:r>
        <w:rPr>
          <w:rFonts w:hint="eastAsia" w:ascii="新宋体" w:hAnsi="新宋体" w:eastAsia="新宋体" w:cs="新宋体"/>
          <w:b/>
          <w:bCs/>
          <w:color w:val="auto"/>
          <w:sz w:val="22"/>
          <w:szCs w:val="22"/>
          <w:highlight w:val="none"/>
          <w:lang w:val="en-US" w:eastAsia="zh-CN"/>
        </w:rPr>
        <w:t>捌仟</w:t>
      </w:r>
      <w:r>
        <w:rPr>
          <w:rFonts w:hint="eastAsia" w:ascii="新宋体" w:hAnsi="新宋体" w:eastAsia="新宋体" w:cs="新宋体"/>
          <w:b/>
          <w:bCs/>
          <w:color w:val="auto"/>
          <w:sz w:val="22"/>
          <w:szCs w:val="22"/>
          <w:highlight w:val="none"/>
        </w:rPr>
        <w:t>元整收取，由中标（成交）人在领取中标（成交）通知书之前付给采购代理机构。</w:t>
      </w:r>
    </w:p>
    <w:p>
      <w:pPr>
        <w:numPr>
          <w:ilvl w:val="255"/>
          <w:numId w:val="0"/>
        </w:num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29.2采购代理服务费可以是现金、支票或汇票。</w:t>
      </w:r>
    </w:p>
    <w:p>
      <w:pPr>
        <w:tabs>
          <w:tab w:val="left" w:pos="540"/>
        </w:tabs>
        <w:spacing w:line="440" w:lineRule="exact"/>
        <w:rPr>
          <w:rFonts w:ascii="新宋体" w:hAnsi="新宋体" w:eastAsia="新宋体" w:cs="新宋体"/>
          <w:bCs/>
          <w:color w:val="auto"/>
          <w:sz w:val="22"/>
          <w:szCs w:val="22"/>
          <w:highlight w:val="none"/>
        </w:rPr>
        <w:sectPr>
          <w:footerReference r:id="rId11" w:type="first"/>
          <w:headerReference r:id="rId8" w:type="default"/>
          <w:footerReference r:id="rId9" w:type="default"/>
          <w:footerReference r:id="rId10" w:type="even"/>
          <w:pgSz w:w="11906" w:h="16838"/>
          <w:pgMar w:top="1420" w:right="1134" w:bottom="1134" w:left="1134" w:header="851" w:footer="851" w:gutter="0"/>
          <w:pgNumType w:start="0"/>
          <w:cols w:space="720" w:num="1"/>
          <w:titlePg/>
          <w:docGrid w:linePitch="316" w:charSpace="855"/>
        </w:sectPr>
      </w:pPr>
      <w:bookmarkStart w:id="143" w:name="_Toc252194855"/>
      <w:bookmarkStart w:id="144" w:name="_Toc246261268"/>
      <w:bookmarkStart w:id="145" w:name="_Toc245722284"/>
      <w:bookmarkStart w:id="146" w:name="_Toc241404205"/>
      <w:bookmarkStart w:id="147" w:name="_Toc251592740"/>
      <w:bookmarkStart w:id="148" w:name="_Toc239145357"/>
      <w:bookmarkStart w:id="149" w:name="_Toc221356954"/>
      <w:bookmarkStart w:id="150" w:name="_Toc222114882"/>
      <w:bookmarkStart w:id="151" w:name="_Toc223716001"/>
      <w:bookmarkStart w:id="152" w:name="_Toc251325217"/>
      <w:bookmarkStart w:id="153" w:name="_Toc221374629"/>
      <w:bookmarkStart w:id="154" w:name="_Toc221423622"/>
      <w:bookmarkStart w:id="155" w:name="_Toc221356890"/>
      <w:bookmarkStart w:id="156" w:name="_Toc245191317"/>
    </w:p>
    <w:p>
      <w:pPr>
        <w:pStyle w:val="4"/>
        <w:overflowPunct w:val="0"/>
        <w:rPr>
          <w:rFonts w:ascii="新宋体" w:hAnsi="新宋体" w:eastAsia="新宋体" w:cs="新宋体"/>
          <w:color w:val="auto"/>
          <w:sz w:val="36"/>
          <w:szCs w:val="36"/>
          <w:highlight w:val="none"/>
        </w:rPr>
      </w:pPr>
      <w:bookmarkStart w:id="157" w:name="_Toc3799550"/>
      <w:bookmarkStart w:id="158" w:name="_Toc522645678"/>
      <w:r>
        <w:rPr>
          <w:rFonts w:hint="eastAsia" w:ascii="新宋体" w:hAnsi="新宋体" w:eastAsia="新宋体" w:cs="新宋体"/>
          <w:color w:val="auto"/>
          <w:sz w:val="36"/>
          <w:szCs w:val="36"/>
          <w:highlight w:val="none"/>
        </w:rPr>
        <w:t xml:space="preserve">第二部分 合同格式及合同主要条款  </w:t>
      </w:r>
    </w:p>
    <w:p>
      <w:pPr>
        <w:pStyle w:val="4"/>
        <w:overflowPunct w:val="0"/>
        <w:rPr>
          <w:rFonts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t>（一）合同</w:t>
      </w:r>
      <w:bookmarkEnd w:id="157"/>
      <w:bookmarkEnd w:id="158"/>
      <w:r>
        <w:rPr>
          <w:rFonts w:hint="eastAsia" w:ascii="新宋体" w:hAnsi="新宋体" w:eastAsia="新宋体" w:cs="新宋体"/>
          <w:color w:val="auto"/>
          <w:sz w:val="36"/>
          <w:szCs w:val="36"/>
          <w:highlight w:val="none"/>
        </w:rPr>
        <w:t>格式</w:t>
      </w:r>
    </w:p>
    <w:p>
      <w:pPr>
        <w:spacing w:line="420" w:lineRule="exact"/>
        <w:ind w:firstLine="442" w:firstLineChars="2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说明：如甲、乙双方同意，合同格式也可以按照其他形式。但合同条款的主要内容应与《中标合同》要求的内容相一致。</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Pr>
        <w:spacing w:line="420" w:lineRule="exact"/>
        <w:ind w:firstLine="660" w:firstLineChars="300"/>
        <w:rPr>
          <w:rFonts w:ascii="新宋体" w:hAnsi="新宋体" w:eastAsia="新宋体"/>
          <w:color w:val="auto"/>
          <w:sz w:val="22"/>
          <w:szCs w:val="22"/>
          <w:highlight w:val="none"/>
        </w:rPr>
      </w:pPr>
      <w:bookmarkStart w:id="159" w:name="_Toc223716002"/>
      <w:bookmarkStart w:id="160" w:name="_Toc221423623"/>
      <w:bookmarkStart w:id="161" w:name="_Toc239145358"/>
      <w:bookmarkStart w:id="162" w:name="_Toc221356891"/>
      <w:bookmarkStart w:id="163" w:name="_Toc252194856"/>
      <w:bookmarkStart w:id="164" w:name="_Toc245722285"/>
      <w:bookmarkStart w:id="165" w:name="_Toc245191318"/>
      <w:bookmarkStart w:id="166" w:name="_Toc246261269"/>
      <w:bookmarkStart w:id="167" w:name="_Toc222114883"/>
      <w:bookmarkStart w:id="168" w:name="_Toc241404206"/>
      <w:bookmarkStart w:id="169" w:name="_Toc251325218"/>
      <w:bookmarkStart w:id="170" w:name="_Toc221356955"/>
      <w:bookmarkStart w:id="171" w:name="_Toc251592741"/>
      <w:bookmarkStart w:id="172" w:name="_Toc221374630"/>
      <w:r>
        <w:rPr>
          <w:rFonts w:hint="eastAsia"/>
          <w:color w:val="auto"/>
          <w:sz w:val="22"/>
          <w:szCs w:val="22"/>
          <w:highlight w:val="none"/>
          <w:u w:val="single"/>
        </w:rPr>
        <w:t>温州市名城资产营运有限公司</w:t>
      </w:r>
      <w:r>
        <w:rPr>
          <w:color w:val="auto"/>
          <w:sz w:val="22"/>
          <w:szCs w:val="22"/>
          <w:highlight w:val="none"/>
        </w:rPr>
        <w:t>（以下简称</w:t>
      </w:r>
      <w:r>
        <w:rPr>
          <w:rFonts w:hint="eastAsia"/>
          <w:color w:val="auto"/>
          <w:sz w:val="22"/>
          <w:szCs w:val="22"/>
          <w:highlight w:val="none"/>
        </w:rPr>
        <w:t>“</w:t>
      </w:r>
      <w:r>
        <w:rPr>
          <w:color w:val="auto"/>
          <w:sz w:val="22"/>
          <w:szCs w:val="22"/>
          <w:highlight w:val="none"/>
        </w:rPr>
        <w:t>甲方</w:t>
      </w:r>
      <w:r>
        <w:rPr>
          <w:rFonts w:hint="eastAsia"/>
          <w:color w:val="auto"/>
          <w:sz w:val="22"/>
          <w:szCs w:val="22"/>
          <w:highlight w:val="none"/>
        </w:rPr>
        <w:t>”</w:t>
      </w:r>
      <w:r>
        <w:rPr>
          <w:color w:val="auto"/>
          <w:sz w:val="22"/>
          <w:szCs w:val="22"/>
          <w:highlight w:val="none"/>
        </w:rPr>
        <w:t>）为实施</w:t>
      </w:r>
      <w:r>
        <w:rPr>
          <w:color w:val="auto"/>
          <w:sz w:val="22"/>
          <w:szCs w:val="22"/>
          <w:highlight w:val="none"/>
          <w:u w:val="single"/>
        </w:rPr>
        <w:t xml:space="preserve"> </w:t>
      </w:r>
      <w:r>
        <w:rPr>
          <w:rFonts w:hint="eastAsia"/>
          <w:color w:val="auto"/>
          <w:sz w:val="22"/>
          <w:szCs w:val="22"/>
          <w:highlight w:val="none"/>
          <w:u w:val="single"/>
        </w:rPr>
        <w:t xml:space="preserve">           </w:t>
      </w:r>
      <w:r>
        <w:rPr>
          <w:color w:val="auto"/>
          <w:sz w:val="22"/>
          <w:szCs w:val="22"/>
          <w:highlight w:val="none"/>
        </w:rPr>
        <w:t>，已接受</w:t>
      </w:r>
      <w:r>
        <w:rPr>
          <w:color w:val="auto"/>
          <w:sz w:val="22"/>
          <w:szCs w:val="22"/>
          <w:highlight w:val="none"/>
          <w:u w:val="single"/>
        </w:rPr>
        <w:t xml:space="preserve"> </w:t>
      </w:r>
      <w:r>
        <w:rPr>
          <w:rFonts w:hint="eastAsia"/>
          <w:color w:val="auto"/>
          <w:sz w:val="22"/>
          <w:szCs w:val="22"/>
          <w:highlight w:val="none"/>
          <w:u w:val="single"/>
        </w:rPr>
        <w:t xml:space="preserve">         </w:t>
      </w:r>
      <w:r>
        <w:rPr>
          <w:color w:val="auto"/>
          <w:sz w:val="22"/>
          <w:szCs w:val="22"/>
          <w:highlight w:val="none"/>
        </w:rPr>
        <w:t>（以下简称</w:t>
      </w:r>
      <w:r>
        <w:rPr>
          <w:rFonts w:hint="eastAsia"/>
          <w:color w:val="auto"/>
          <w:sz w:val="22"/>
          <w:szCs w:val="22"/>
          <w:highlight w:val="none"/>
        </w:rPr>
        <w:t>“</w:t>
      </w:r>
      <w:r>
        <w:rPr>
          <w:color w:val="auto"/>
          <w:sz w:val="22"/>
          <w:szCs w:val="22"/>
          <w:highlight w:val="none"/>
        </w:rPr>
        <w:t>乙方</w:t>
      </w:r>
      <w:r>
        <w:rPr>
          <w:rFonts w:hint="eastAsia"/>
          <w:color w:val="auto"/>
          <w:sz w:val="22"/>
          <w:szCs w:val="22"/>
          <w:highlight w:val="none"/>
        </w:rPr>
        <w:t>”</w:t>
      </w:r>
      <w:r>
        <w:rPr>
          <w:color w:val="auto"/>
          <w:sz w:val="22"/>
          <w:szCs w:val="22"/>
          <w:highlight w:val="none"/>
        </w:rPr>
        <w:t>）对该项目的投标。</w:t>
      </w:r>
      <w:r>
        <w:rPr>
          <w:rFonts w:hint="eastAsia" w:ascii="新宋体" w:hAnsi="新宋体" w:eastAsia="新宋体"/>
          <w:color w:val="auto"/>
          <w:sz w:val="22"/>
          <w:szCs w:val="22"/>
          <w:highlight w:val="none"/>
        </w:rPr>
        <w:t>为保护甲乙双方合法权益，根据《中华人民共和国民法典》等相关法律、法规，以及温州市国企采购相关规定，签订本合同，并共同遵守。</w:t>
      </w:r>
    </w:p>
    <w:p>
      <w:pPr>
        <w:spacing w:line="420" w:lineRule="exact"/>
        <w:ind w:left="-2" w:leftChars="-1"/>
        <w:rPr>
          <w:color w:val="auto"/>
          <w:sz w:val="22"/>
          <w:szCs w:val="22"/>
          <w:highlight w:val="none"/>
        </w:rPr>
      </w:pPr>
      <w:r>
        <w:rPr>
          <w:rFonts w:hint="eastAsia"/>
          <w:color w:val="auto"/>
          <w:sz w:val="22"/>
          <w:szCs w:val="22"/>
          <w:highlight w:val="none"/>
        </w:rPr>
        <w:t>一、</w:t>
      </w:r>
      <w:r>
        <w:rPr>
          <w:color w:val="auto"/>
          <w:sz w:val="22"/>
          <w:szCs w:val="22"/>
          <w:highlight w:val="none"/>
        </w:rPr>
        <w:t>本协议书与下列文件一起构成合同文件：</w:t>
      </w:r>
    </w:p>
    <w:p>
      <w:pPr>
        <w:spacing w:line="420" w:lineRule="exact"/>
        <w:ind w:left="-2" w:leftChars="-1" w:firstLine="330" w:firstLineChars="150"/>
        <w:rPr>
          <w:color w:val="auto"/>
          <w:sz w:val="22"/>
          <w:szCs w:val="22"/>
          <w:highlight w:val="none"/>
        </w:rPr>
      </w:pPr>
      <w:r>
        <w:rPr>
          <w:rFonts w:hint="eastAsia"/>
          <w:color w:val="auto"/>
          <w:sz w:val="22"/>
          <w:szCs w:val="22"/>
          <w:highlight w:val="none"/>
        </w:rPr>
        <w:t>1、</w:t>
      </w:r>
      <w:r>
        <w:rPr>
          <w:color w:val="auto"/>
          <w:sz w:val="22"/>
          <w:szCs w:val="22"/>
          <w:highlight w:val="none"/>
        </w:rPr>
        <w:t>中标通知书；</w:t>
      </w:r>
    </w:p>
    <w:p>
      <w:pPr>
        <w:spacing w:line="420" w:lineRule="exact"/>
        <w:ind w:left="-2" w:leftChars="-1" w:firstLine="330" w:firstLineChars="150"/>
        <w:rPr>
          <w:color w:val="auto"/>
          <w:sz w:val="22"/>
          <w:szCs w:val="22"/>
          <w:highlight w:val="none"/>
        </w:rPr>
      </w:pPr>
      <w:r>
        <w:rPr>
          <w:rFonts w:hint="eastAsia"/>
          <w:color w:val="auto"/>
          <w:sz w:val="22"/>
          <w:szCs w:val="22"/>
          <w:highlight w:val="none"/>
        </w:rPr>
        <w:t>2、</w:t>
      </w:r>
      <w:r>
        <w:rPr>
          <w:rFonts w:hint="eastAsia" w:hAnsi="宋体"/>
          <w:color w:val="auto"/>
          <w:sz w:val="22"/>
          <w:szCs w:val="22"/>
          <w:highlight w:val="none"/>
        </w:rPr>
        <w:t>合同协议书、合同条款及技术条款</w:t>
      </w:r>
      <w:r>
        <w:rPr>
          <w:color w:val="auto"/>
          <w:sz w:val="22"/>
          <w:szCs w:val="22"/>
          <w:highlight w:val="none"/>
        </w:rPr>
        <w:t>；</w:t>
      </w:r>
    </w:p>
    <w:p>
      <w:pPr>
        <w:spacing w:line="420" w:lineRule="exact"/>
        <w:ind w:left="-2" w:leftChars="-1" w:firstLine="330" w:firstLineChars="150"/>
        <w:rPr>
          <w:color w:val="auto"/>
          <w:sz w:val="22"/>
          <w:szCs w:val="22"/>
          <w:highlight w:val="none"/>
        </w:rPr>
      </w:pPr>
      <w:r>
        <w:rPr>
          <w:rFonts w:hint="eastAsia"/>
          <w:color w:val="auto"/>
          <w:sz w:val="22"/>
          <w:szCs w:val="22"/>
          <w:highlight w:val="none"/>
        </w:rPr>
        <w:t>3、已</w:t>
      </w:r>
      <w:r>
        <w:rPr>
          <w:color w:val="auto"/>
          <w:sz w:val="22"/>
          <w:szCs w:val="22"/>
          <w:highlight w:val="none"/>
        </w:rPr>
        <w:t>标价清单</w:t>
      </w:r>
      <w:r>
        <w:rPr>
          <w:rFonts w:hint="eastAsia"/>
          <w:color w:val="auto"/>
          <w:sz w:val="22"/>
          <w:szCs w:val="22"/>
          <w:highlight w:val="none"/>
        </w:rPr>
        <w:t>；</w:t>
      </w:r>
    </w:p>
    <w:p>
      <w:pPr>
        <w:spacing w:line="420" w:lineRule="exact"/>
        <w:ind w:firstLine="330" w:firstLineChars="150"/>
        <w:rPr>
          <w:rFonts w:hAnsi="宋体"/>
          <w:color w:val="auto"/>
          <w:sz w:val="22"/>
          <w:szCs w:val="22"/>
          <w:highlight w:val="none"/>
        </w:rPr>
      </w:pPr>
      <w:r>
        <w:rPr>
          <w:rFonts w:hint="eastAsia"/>
          <w:color w:val="auto"/>
          <w:sz w:val="22"/>
          <w:szCs w:val="22"/>
          <w:highlight w:val="none"/>
        </w:rPr>
        <w:t>4、</w:t>
      </w:r>
      <w:r>
        <w:rPr>
          <w:rFonts w:hint="eastAsia" w:hAnsi="宋体"/>
          <w:color w:val="auto"/>
          <w:sz w:val="22"/>
          <w:szCs w:val="22"/>
          <w:highlight w:val="none"/>
        </w:rPr>
        <w:t>合同协商、执行过程中，甲、乙双方就与本合同中有关问题达成一致的协议或会议纪要及其它补充文件；</w:t>
      </w:r>
    </w:p>
    <w:p>
      <w:pPr>
        <w:spacing w:line="420" w:lineRule="exact"/>
        <w:ind w:firstLine="330" w:firstLineChars="150"/>
        <w:rPr>
          <w:rFonts w:hAnsi="宋体"/>
          <w:color w:val="auto"/>
          <w:sz w:val="22"/>
          <w:szCs w:val="22"/>
          <w:highlight w:val="none"/>
        </w:rPr>
      </w:pPr>
      <w:r>
        <w:rPr>
          <w:rFonts w:hint="eastAsia"/>
          <w:color w:val="auto"/>
          <w:sz w:val="22"/>
          <w:szCs w:val="22"/>
          <w:highlight w:val="none"/>
        </w:rPr>
        <w:t>5、</w:t>
      </w:r>
      <w:r>
        <w:rPr>
          <w:rFonts w:hint="eastAsia" w:hAnsi="宋体"/>
          <w:color w:val="auto"/>
          <w:sz w:val="22"/>
          <w:szCs w:val="22"/>
          <w:highlight w:val="none"/>
        </w:rPr>
        <w:t xml:space="preserve">甲、乙双方在合同有效期内补充的并被批准的所有书面文件；以及由合同双方共同签署和达成的所有书面协议。 </w:t>
      </w:r>
    </w:p>
    <w:p>
      <w:pPr>
        <w:spacing w:line="420" w:lineRule="exact"/>
        <w:ind w:firstLine="330" w:firstLineChars="150"/>
        <w:rPr>
          <w:rFonts w:hAnsi="宋体"/>
          <w:color w:val="auto"/>
          <w:sz w:val="22"/>
          <w:szCs w:val="22"/>
          <w:highlight w:val="none"/>
        </w:rPr>
      </w:pPr>
      <w:r>
        <w:rPr>
          <w:rFonts w:hint="eastAsia" w:hAnsi="宋体"/>
          <w:color w:val="auto"/>
          <w:sz w:val="22"/>
          <w:szCs w:val="22"/>
          <w:highlight w:val="none"/>
        </w:rPr>
        <w:t>6、招、投标文件。</w:t>
      </w:r>
    </w:p>
    <w:p>
      <w:pPr>
        <w:spacing w:line="420" w:lineRule="exact"/>
        <w:ind w:left="-2" w:leftChars="-1"/>
        <w:rPr>
          <w:color w:val="auto"/>
          <w:sz w:val="22"/>
          <w:szCs w:val="22"/>
          <w:highlight w:val="none"/>
        </w:rPr>
      </w:pPr>
      <w:r>
        <w:rPr>
          <w:rFonts w:hint="eastAsia"/>
          <w:color w:val="auto"/>
          <w:sz w:val="22"/>
          <w:szCs w:val="22"/>
          <w:highlight w:val="none"/>
        </w:rPr>
        <w:t>二、</w:t>
      </w:r>
      <w:r>
        <w:rPr>
          <w:color w:val="auto"/>
          <w:sz w:val="22"/>
          <w:szCs w:val="22"/>
          <w:highlight w:val="none"/>
        </w:rPr>
        <w:t>上述文件互相补充和解释，如有不明确或不一致之处，以合同约定次序在先者为准。</w:t>
      </w:r>
    </w:p>
    <w:p>
      <w:pPr>
        <w:spacing w:line="420" w:lineRule="exact"/>
        <w:ind w:left="-2" w:leftChars="-1"/>
        <w:rPr>
          <w:color w:val="auto"/>
          <w:sz w:val="22"/>
          <w:szCs w:val="22"/>
          <w:highlight w:val="none"/>
        </w:rPr>
      </w:pPr>
      <w:r>
        <w:rPr>
          <w:rFonts w:hint="eastAsia"/>
          <w:color w:val="auto"/>
          <w:sz w:val="22"/>
          <w:szCs w:val="22"/>
          <w:highlight w:val="none"/>
        </w:rPr>
        <w:t>三、</w:t>
      </w:r>
      <w:r>
        <w:rPr>
          <w:color w:val="auto"/>
          <w:sz w:val="22"/>
          <w:szCs w:val="22"/>
          <w:highlight w:val="none"/>
        </w:rPr>
        <w:t>合同价：人民币（大写）</w:t>
      </w:r>
      <w:r>
        <w:rPr>
          <w:rFonts w:hint="eastAsia"/>
          <w:color w:val="auto"/>
          <w:sz w:val="22"/>
          <w:szCs w:val="22"/>
          <w:highlight w:val="none"/>
          <w:u w:val="single"/>
        </w:rPr>
        <w:t xml:space="preserve">               </w:t>
      </w:r>
      <w:r>
        <w:rPr>
          <w:color w:val="auto"/>
          <w:sz w:val="22"/>
          <w:szCs w:val="22"/>
          <w:highlight w:val="none"/>
        </w:rPr>
        <w:t>（￥</w:t>
      </w:r>
      <w:r>
        <w:rPr>
          <w:rFonts w:hint="eastAsia"/>
          <w:color w:val="auto"/>
          <w:sz w:val="22"/>
          <w:szCs w:val="22"/>
          <w:highlight w:val="none"/>
          <w:u w:val="single"/>
        </w:rPr>
        <w:t xml:space="preserve">       </w:t>
      </w:r>
      <w:r>
        <w:rPr>
          <w:rFonts w:hint="eastAsia"/>
          <w:color w:val="auto"/>
          <w:sz w:val="22"/>
          <w:szCs w:val="22"/>
          <w:highlight w:val="none"/>
        </w:rPr>
        <w:t>元</w:t>
      </w:r>
      <w:r>
        <w:rPr>
          <w:color w:val="auto"/>
          <w:sz w:val="22"/>
          <w:szCs w:val="22"/>
          <w:highlight w:val="none"/>
        </w:rPr>
        <w:t>）</w:t>
      </w:r>
      <w:r>
        <w:rPr>
          <w:rFonts w:hint="eastAsia"/>
          <w:color w:val="auto"/>
          <w:sz w:val="22"/>
          <w:szCs w:val="22"/>
          <w:highlight w:val="none"/>
        </w:rPr>
        <w:t>，根据</w:t>
      </w:r>
      <w:r>
        <w:rPr>
          <w:color w:val="auto"/>
          <w:sz w:val="22"/>
          <w:szCs w:val="22"/>
          <w:highlight w:val="none"/>
        </w:rPr>
        <w:t>中标单</w:t>
      </w:r>
      <w:r>
        <w:rPr>
          <w:rFonts w:hint="eastAsia"/>
          <w:color w:val="auto"/>
          <w:sz w:val="22"/>
          <w:szCs w:val="22"/>
          <w:highlight w:val="none"/>
        </w:rPr>
        <w:t>价</w:t>
      </w:r>
      <w:r>
        <w:rPr>
          <w:color w:val="auto"/>
          <w:sz w:val="22"/>
          <w:szCs w:val="22"/>
          <w:highlight w:val="none"/>
        </w:rPr>
        <w:t>及经甲方确认的实际供货量据实结算，</w:t>
      </w:r>
      <w:r>
        <w:rPr>
          <w:rFonts w:hint="eastAsia"/>
          <w:color w:val="auto"/>
          <w:sz w:val="22"/>
          <w:szCs w:val="22"/>
          <w:highlight w:val="none"/>
        </w:rPr>
        <w:t>（详细报价见附件）</w:t>
      </w:r>
      <w:r>
        <w:rPr>
          <w:color w:val="auto"/>
          <w:sz w:val="22"/>
          <w:szCs w:val="22"/>
          <w:highlight w:val="none"/>
        </w:rPr>
        <w:t>。</w:t>
      </w:r>
    </w:p>
    <w:p>
      <w:pPr>
        <w:spacing w:line="420" w:lineRule="exact"/>
        <w:ind w:left="-2" w:leftChars="-1"/>
        <w:rPr>
          <w:color w:val="auto"/>
          <w:sz w:val="22"/>
          <w:szCs w:val="22"/>
          <w:highlight w:val="none"/>
        </w:rPr>
      </w:pPr>
      <w:r>
        <w:rPr>
          <w:rFonts w:hint="eastAsia"/>
          <w:color w:val="auto"/>
          <w:sz w:val="22"/>
          <w:szCs w:val="22"/>
          <w:highlight w:val="none"/>
        </w:rPr>
        <w:t>四、货物</w:t>
      </w:r>
      <w:r>
        <w:rPr>
          <w:color w:val="auto"/>
          <w:sz w:val="22"/>
          <w:szCs w:val="22"/>
          <w:highlight w:val="none"/>
        </w:rPr>
        <w:t>质量符合</w:t>
      </w:r>
      <w:r>
        <w:rPr>
          <w:rFonts w:hint="eastAsia"/>
          <w:color w:val="auto"/>
          <w:sz w:val="22"/>
          <w:szCs w:val="22"/>
          <w:highlight w:val="none"/>
          <w:u w:val="single"/>
        </w:rPr>
        <w:t>合格</w:t>
      </w:r>
      <w:r>
        <w:rPr>
          <w:color w:val="auto"/>
          <w:sz w:val="22"/>
          <w:szCs w:val="22"/>
          <w:highlight w:val="none"/>
        </w:rPr>
        <w:t>标准。</w:t>
      </w:r>
    </w:p>
    <w:p>
      <w:pPr>
        <w:spacing w:line="420" w:lineRule="exact"/>
        <w:ind w:left="-2" w:leftChars="-1"/>
        <w:rPr>
          <w:color w:val="auto"/>
          <w:sz w:val="22"/>
          <w:szCs w:val="22"/>
          <w:highlight w:val="none"/>
        </w:rPr>
      </w:pPr>
      <w:r>
        <w:rPr>
          <w:rFonts w:hint="eastAsia"/>
          <w:color w:val="auto"/>
          <w:sz w:val="22"/>
          <w:szCs w:val="22"/>
          <w:highlight w:val="none"/>
        </w:rPr>
        <w:t>五、</w:t>
      </w:r>
      <w:r>
        <w:rPr>
          <w:color w:val="auto"/>
          <w:sz w:val="22"/>
          <w:szCs w:val="22"/>
          <w:highlight w:val="none"/>
        </w:rPr>
        <w:t>乙方承诺按合同约定承担</w:t>
      </w:r>
      <w:r>
        <w:rPr>
          <w:rFonts w:hint="eastAsia"/>
          <w:color w:val="auto"/>
          <w:sz w:val="22"/>
          <w:szCs w:val="22"/>
          <w:highlight w:val="none"/>
        </w:rPr>
        <w:t>项目</w:t>
      </w:r>
      <w:r>
        <w:rPr>
          <w:color w:val="auto"/>
          <w:sz w:val="22"/>
          <w:szCs w:val="22"/>
          <w:highlight w:val="none"/>
        </w:rPr>
        <w:t>的实施、完成及缺陷修复</w:t>
      </w:r>
      <w:r>
        <w:rPr>
          <w:rFonts w:hint="eastAsia"/>
          <w:color w:val="auto"/>
          <w:sz w:val="22"/>
          <w:szCs w:val="22"/>
          <w:highlight w:val="none"/>
        </w:rPr>
        <w:t>、维护</w:t>
      </w:r>
      <w:r>
        <w:rPr>
          <w:color w:val="auto"/>
          <w:sz w:val="22"/>
          <w:szCs w:val="22"/>
          <w:highlight w:val="none"/>
        </w:rPr>
        <w:t>。</w:t>
      </w:r>
    </w:p>
    <w:p>
      <w:pPr>
        <w:spacing w:line="420" w:lineRule="exact"/>
        <w:ind w:left="-2" w:leftChars="-1"/>
        <w:rPr>
          <w:color w:val="auto"/>
          <w:sz w:val="22"/>
          <w:szCs w:val="22"/>
          <w:highlight w:val="none"/>
        </w:rPr>
      </w:pPr>
      <w:r>
        <w:rPr>
          <w:rFonts w:hint="eastAsia"/>
          <w:color w:val="auto"/>
          <w:sz w:val="22"/>
          <w:szCs w:val="22"/>
          <w:highlight w:val="none"/>
        </w:rPr>
        <w:t>六、</w:t>
      </w:r>
      <w:r>
        <w:rPr>
          <w:color w:val="auto"/>
          <w:sz w:val="22"/>
          <w:szCs w:val="22"/>
          <w:highlight w:val="none"/>
        </w:rPr>
        <w:t>甲方承诺按合同约定的条件、时间和方式向乙方支付合同价款。</w:t>
      </w:r>
    </w:p>
    <w:p>
      <w:pPr>
        <w:spacing w:line="420" w:lineRule="exact"/>
        <w:ind w:left="-2" w:leftChars="-1"/>
        <w:rPr>
          <w:color w:val="auto"/>
          <w:sz w:val="22"/>
          <w:szCs w:val="22"/>
          <w:highlight w:val="none"/>
        </w:rPr>
      </w:pPr>
      <w:r>
        <w:rPr>
          <w:rFonts w:hint="eastAsia"/>
          <w:color w:val="auto"/>
          <w:sz w:val="22"/>
          <w:szCs w:val="22"/>
          <w:highlight w:val="none"/>
        </w:rPr>
        <w:t>七、</w:t>
      </w:r>
      <w:r>
        <w:rPr>
          <w:color w:val="auto"/>
          <w:sz w:val="22"/>
          <w:szCs w:val="22"/>
          <w:highlight w:val="none"/>
        </w:rPr>
        <w:t>本协议书一式</w:t>
      </w:r>
      <w:r>
        <w:rPr>
          <w:color w:val="auto"/>
          <w:sz w:val="22"/>
          <w:szCs w:val="22"/>
          <w:highlight w:val="none"/>
          <w:u w:val="single"/>
        </w:rPr>
        <w:t xml:space="preserve">  </w:t>
      </w:r>
      <w:r>
        <w:rPr>
          <w:rFonts w:hint="eastAsia"/>
          <w:color w:val="auto"/>
          <w:sz w:val="22"/>
          <w:szCs w:val="22"/>
          <w:highlight w:val="none"/>
          <w:u w:val="single"/>
        </w:rPr>
        <w:t xml:space="preserve"> 玖 </w:t>
      </w:r>
      <w:r>
        <w:rPr>
          <w:color w:val="auto"/>
          <w:sz w:val="22"/>
          <w:szCs w:val="22"/>
          <w:highlight w:val="none"/>
          <w:u w:val="single"/>
        </w:rPr>
        <w:t xml:space="preserve">  </w:t>
      </w:r>
      <w:r>
        <w:rPr>
          <w:color w:val="auto"/>
          <w:sz w:val="22"/>
          <w:szCs w:val="22"/>
          <w:highlight w:val="none"/>
        </w:rPr>
        <w:t>份，合同</w:t>
      </w:r>
      <w:r>
        <w:rPr>
          <w:rFonts w:hint="eastAsia"/>
          <w:color w:val="auto"/>
          <w:sz w:val="22"/>
          <w:szCs w:val="22"/>
          <w:highlight w:val="none"/>
        </w:rPr>
        <w:t>甲方</w:t>
      </w:r>
      <w:r>
        <w:rPr>
          <w:color w:val="auto"/>
          <w:sz w:val="22"/>
          <w:szCs w:val="22"/>
          <w:highlight w:val="none"/>
        </w:rPr>
        <w:t>执</w:t>
      </w:r>
      <w:r>
        <w:rPr>
          <w:rFonts w:hint="eastAsia"/>
          <w:color w:val="auto"/>
          <w:sz w:val="22"/>
          <w:szCs w:val="22"/>
          <w:highlight w:val="none"/>
          <w:u w:val="single"/>
        </w:rPr>
        <w:t xml:space="preserve">   伍   </w:t>
      </w:r>
      <w:r>
        <w:rPr>
          <w:color w:val="auto"/>
          <w:sz w:val="22"/>
          <w:szCs w:val="22"/>
          <w:highlight w:val="none"/>
        </w:rPr>
        <w:t>份</w:t>
      </w:r>
      <w:r>
        <w:rPr>
          <w:rFonts w:hint="eastAsia"/>
          <w:color w:val="auto"/>
          <w:sz w:val="22"/>
          <w:szCs w:val="22"/>
          <w:highlight w:val="none"/>
        </w:rPr>
        <w:t>，</w:t>
      </w:r>
      <w:r>
        <w:rPr>
          <w:color w:val="auto"/>
          <w:sz w:val="22"/>
          <w:szCs w:val="22"/>
          <w:highlight w:val="none"/>
        </w:rPr>
        <w:t>乙方执</w:t>
      </w:r>
      <w:r>
        <w:rPr>
          <w:rFonts w:hint="eastAsia"/>
          <w:color w:val="auto"/>
          <w:sz w:val="22"/>
          <w:szCs w:val="22"/>
          <w:highlight w:val="none"/>
          <w:u w:val="single"/>
        </w:rPr>
        <w:t xml:space="preserve"> </w:t>
      </w:r>
      <w:r>
        <w:rPr>
          <w:color w:val="auto"/>
          <w:sz w:val="22"/>
          <w:szCs w:val="22"/>
          <w:highlight w:val="none"/>
          <w:u w:val="single"/>
        </w:rPr>
        <w:t xml:space="preserve"> </w:t>
      </w:r>
      <w:r>
        <w:rPr>
          <w:rFonts w:hint="eastAsia"/>
          <w:color w:val="auto"/>
          <w:sz w:val="22"/>
          <w:szCs w:val="22"/>
          <w:highlight w:val="none"/>
          <w:u w:val="single"/>
        </w:rPr>
        <w:t>叁</w:t>
      </w:r>
      <w:r>
        <w:rPr>
          <w:color w:val="auto"/>
          <w:sz w:val="22"/>
          <w:szCs w:val="22"/>
          <w:highlight w:val="none"/>
          <w:u w:val="single"/>
        </w:rPr>
        <w:t xml:space="preserve">   </w:t>
      </w:r>
      <w:r>
        <w:rPr>
          <w:color w:val="auto"/>
          <w:sz w:val="22"/>
          <w:szCs w:val="22"/>
          <w:highlight w:val="none"/>
        </w:rPr>
        <w:t>份</w:t>
      </w:r>
      <w:r>
        <w:rPr>
          <w:rFonts w:hint="eastAsia"/>
          <w:color w:val="auto"/>
          <w:sz w:val="22"/>
          <w:szCs w:val="22"/>
          <w:highlight w:val="none"/>
        </w:rPr>
        <w:t>，</w:t>
      </w:r>
      <w:r>
        <w:rPr>
          <w:rFonts w:hint="eastAsia" w:ascii="宋体" w:hAnsi="宋体"/>
          <w:color w:val="auto"/>
          <w:sz w:val="22"/>
          <w:szCs w:val="22"/>
          <w:highlight w:val="none"/>
        </w:rPr>
        <w:t>采购代理机构执</w:t>
      </w:r>
      <w:r>
        <w:rPr>
          <w:rFonts w:hint="eastAsia" w:ascii="宋体" w:hAnsi="宋体"/>
          <w:color w:val="auto"/>
          <w:sz w:val="22"/>
          <w:szCs w:val="22"/>
          <w:highlight w:val="none"/>
          <w:u w:val="single"/>
        </w:rPr>
        <w:t xml:space="preserve">  壹  </w:t>
      </w:r>
      <w:r>
        <w:rPr>
          <w:rFonts w:hint="eastAsia" w:ascii="宋体" w:hAnsi="宋体"/>
          <w:color w:val="auto"/>
          <w:sz w:val="22"/>
          <w:szCs w:val="22"/>
          <w:highlight w:val="none"/>
        </w:rPr>
        <w:t>份</w:t>
      </w:r>
      <w:r>
        <w:rPr>
          <w:color w:val="auto"/>
          <w:sz w:val="22"/>
          <w:szCs w:val="22"/>
          <w:highlight w:val="none"/>
        </w:rPr>
        <w:t>。</w:t>
      </w:r>
    </w:p>
    <w:p>
      <w:pPr>
        <w:widowControl/>
        <w:spacing w:line="420" w:lineRule="exact"/>
        <w:rPr>
          <w:color w:val="auto"/>
          <w:sz w:val="22"/>
          <w:szCs w:val="22"/>
          <w:highlight w:val="none"/>
        </w:rPr>
      </w:pPr>
      <w:r>
        <w:rPr>
          <w:rFonts w:hint="eastAsia"/>
          <w:color w:val="auto"/>
          <w:sz w:val="22"/>
          <w:szCs w:val="22"/>
          <w:highlight w:val="none"/>
        </w:rPr>
        <w:t>八、合同履行期内甲乙双方均不得随意变更或解除合同。合同若有未尽事宜，需经双方共同协商，作出补充规定，补充规定与本合同有同等法律效力。</w:t>
      </w:r>
    </w:p>
    <w:p>
      <w:pPr>
        <w:spacing w:line="420" w:lineRule="exact"/>
        <w:rPr>
          <w:color w:val="auto"/>
          <w:sz w:val="22"/>
          <w:szCs w:val="22"/>
          <w:highlight w:val="none"/>
        </w:rPr>
      </w:pPr>
      <w:r>
        <w:rPr>
          <w:rFonts w:hint="eastAsia"/>
          <w:color w:val="auto"/>
          <w:sz w:val="22"/>
          <w:szCs w:val="22"/>
          <w:highlight w:val="none"/>
        </w:rPr>
        <w:t xml:space="preserve">甲方：                                      乙方：  </w:t>
      </w:r>
    </w:p>
    <w:p>
      <w:pPr>
        <w:spacing w:line="420" w:lineRule="exact"/>
        <w:rPr>
          <w:color w:val="auto"/>
          <w:sz w:val="22"/>
          <w:szCs w:val="22"/>
          <w:highlight w:val="none"/>
        </w:rPr>
      </w:pPr>
      <w:r>
        <w:rPr>
          <w:rFonts w:hint="eastAsia"/>
          <w:color w:val="auto"/>
          <w:sz w:val="22"/>
          <w:szCs w:val="22"/>
          <w:highlight w:val="none"/>
        </w:rPr>
        <w:t>法人代表</w:t>
      </w:r>
      <w:r>
        <w:rPr>
          <w:color w:val="auto"/>
          <w:sz w:val="22"/>
          <w:szCs w:val="22"/>
          <w:highlight w:val="none"/>
        </w:rPr>
        <w:t>/</w:t>
      </w:r>
      <w:r>
        <w:rPr>
          <w:rFonts w:hint="eastAsia"/>
          <w:color w:val="auto"/>
          <w:sz w:val="22"/>
          <w:szCs w:val="22"/>
          <w:highlight w:val="none"/>
        </w:rPr>
        <w:t>全权代表：</w:t>
      </w:r>
      <w:r>
        <w:rPr>
          <w:color w:val="auto"/>
          <w:sz w:val="22"/>
          <w:szCs w:val="22"/>
          <w:highlight w:val="none"/>
        </w:rPr>
        <w:t xml:space="preserve">                    </w:t>
      </w:r>
      <w:r>
        <w:rPr>
          <w:rFonts w:hint="eastAsia"/>
          <w:color w:val="auto"/>
          <w:sz w:val="22"/>
          <w:szCs w:val="22"/>
          <w:highlight w:val="none"/>
        </w:rPr>
        <w:t xml:space="preserve">      法人代表</w:t>
      </w:r>
      <w:r>
        <w:rPr>
          <w:color w:val="auto"/>
          <w:sz w:val="22"/>
          <w:szCs w:val="22"/>
          <w:highlight w:val="none"/>
        </w:rPr>
        <w:t>/</w:t>
      </w:r>
      <w:r>
        <w:rPr>
          <w:rFonts w:hint="eastAsia"/>
          <w:color w:val="auto"/>
          <w:sz w:val="22"/>
          <w:szCs w:val="22"/>
          <w:highlight w:val="none"/>
        </w:rPr>
        <w:t>全权代表：</w:t>
      </w:r>
    </w:p>
    <w:p>
      <w:pPr>
        <w:spacing w:line="420" w:lineRule="exact"/>
        <w:rPr>
          <w:color w:val="auto"/>
          <w:sz w:val="22"/>
          <w:szCs w:val="22"/>
          <w:highlight w:val="none"/>
        </w:rPr>
      </w:pPr>
      <w:r>
        <w:rPr>
          <w:rFonts w:hint="eastAsia"/>
          <w:color w:val="auto"/>
          <w:sz w:val="22"/>
          <w:szCs w:val="22"/>
          <w:highlight w:val="none"/>
        </w:rPr>
        <w:t xml:space="preserve">地址：                                      地址： </w:t>
      </w:r>
      <w:r>
        <w:rPr>
          <w:color w:val="auto"/>
          <w:sz w:val="22"/>
          <w:szCs w:val="22"/>
          <w:highlight w:val="none"/>
        </w:rPr>
        <w:t xml:space="preserve"> </w:t>
      </w:r>
    </w:p>
    <w:p>
      <w:pPr>
        <w:spacing w:line="420" w:lineRule="exact"/>
        <w:rPr>
          <w:color w:val="auto"/>
          <w:sz w:val="22"/>
          <w:szCs w:val="22"/>
          <w:highlight w:val="none"/>
        </w:rPr>
      </w:pPr>
      <w:r>
        <w:rPr>
          <w:rFonts w:hint="eastAsia"/>
          <w:color w:val="auto"/>
          <w:sz w:val="22"/>
          <w:szCs w:val="22"/>
          <w:highlight w:val="none"/>
        </w:rPr>
        <w:t xml:space="preserve">电话：                                      电话： </w:t>
      </w:r>
    </w:p>
    <w:p>
      <w:pPr>
        <w:spacing w:line="420" w:lineRule="exact"/>
        <w:rPr>
          <w:color w:val="auto"/>
          <w:sz w:val="22"/>
          <w:szCs w:val="22"/>
          <w:highlight w:val="none"/>
        </w:rPr>
      </w:pPr>
      <w:r>
        <w:rPr>
          <w:rFonts w:hint="eastAsia"/>
          <w:color w:val="auto"/>
          <w:sz w:val="22"/>
          <w:szCs w:val="22"/>
          <w:highlight w:val="none"/>
        </w:rPr>
        <w:t xml:space="preserve">传真：                                      传真：  </w:t>
      </w:r>
    </w:p>
    <w:p>
      <w:pPr>
        <w:spacing w:line="420" w:lineRule="exact"/>
        <w:rPr>
          <w:color w:val="auto"/>
          <w:sz w:val="22"/>
          <w:szCs w:val="22"/>
          <w:highlight w:val="none"/>
        </w:rPr>
      </w:pPr>
      <w:r>
        <w:rPr>
          <w:rFonts w:hint="eastAsia"/>
          <w:color w:val="auto"/>
          <w:sz w:val="22"/>
          <w:szCs w:val="22"/>
          <w:highlight w:val="none"/>
        </w:rPr>
        <w:t xml:space="preserve">联系人：                                    联系人： </w:t>
      </w:r>
    </w:p>
    <w:p>
      <w:pPr>
        <w:spacing w:line="420" w:lineRule="exact"/>
        <w:rPr>
          <w:color w:val="auto"/>
          <w:spacing w:val="-20"/>
          <w:sz w:val="22"/>
          <w:szCs w:val="22"/>
          <w:highlight w:val="none"/>
        </w:rPr>
      </w:pPr>
      <w:r>
        <w:rPr>
          <w:rFonts w:hint="eastAsia"/>
          <w:color w:val="auto"/>
          <w:sz w:val="22"/>
          <w:szCs w:val="22"/>
          <w:highlight w:val="none"/>
        </w:rPr>
        <w:t xml:space="preserve">开户行： </w:t>
      </w:r>
      <w:r>
        <w:rPr>
          <w:color w:val="auto"/>
          <w:sz w:val="22"/>
          <w:szCs w:val="22"/>
          <w:highlight w:val="none"/>
        </w:rPr>
        <w:t xml:space="preserve">        </w:t>
      </w:r>
      <w:r>
        <w:rPr>
          <w:rFonts w:hint="eastAsia"/>
          <w:color w:val="auto"/>
          <w:sz w:val="22"/>
          <w:szCs w:val="22"/>
          <w:highlight w:val="none"/>
        </w:rPr>
        <w:t xml:space="preserve">                        </w:t>
      </w:r>
      <w:r>
        <w:rPr>
          <w:color w:val="auto"/>
          <w:sz w:val="22"/>
          <w:szCs w:val="22"/>
          <w:highlight w:val="none"/>
        </w:rPr>
        <w:t xml:space="preserve"> </w:t>
      </w:r>
      <w:r>
        <w:rPr>
          <w:rFonts w:hint="eastAsia"/>
          <w:color w:val="auto"/>
          <w:sz w:val="22"/>
          <w:szCs w:val="22"/>
          <w:highlight w:val="none"/>
        </w:rPr>
        <w:t xml:space="preserve">  开户行： </w:t>
      </w:r>
    </w:p>
    <w:p>
      <w:pPr>
        <w:spacing w:line="420" w:lineRule="exact"/>
        <w:rPr>
          <w:color w:val="auto"/>
          <w:sz w:val="22"/>
          <w:szCs w:val="22"/>
          <w:highlight w:val="none"/>
        </w:rPr>
      </w:pPr>
      <w:r>
        <w:rPr>
          <w:rFonts w:hint="eastAsia"/>
          <w:color w:val="auto"/>
          <w:sz w:val="22"/>
          <w:szCs w:val="22"/>
          <w:highlight w:val="none"/>
        </w:rPr>
        <w:t xml:space="preserve">账号：                                      帐号： </w:t>
      </w:r>
    </w:p>
    <w:p>
      <w:pPr>
        <w:spacing w:line="420" w:lineRule="exact"/>
        <w:rPr>
          <w:color w:val="auto"/>
          <w:sz w:val="22"/>
          <w:szCs w:val="22"/>
          <w:highlight w:val="none"/>
        </w:rPr>
      </w:pPr>
      <w:r>
        <w:rPr>
          <w:rFonts w:hint="eastAsia"/>
          <w:color w:val="auto"/>
          <w:sz w:val="22"/>
          <w:szCs w:val="22"/>
          <w:highlight w:val="none"/>
        </w:rPr>
        <w:t xml:space="preserve">统一信用代码：                              统一信用代码： </w:t>
      </w:r>
    </w:p>
    <w:p>
      <w:pPr>
        <w:pStyle w:val="116"/>
        <w:spacing w:line="420" w:lineRule="exact"/>
        <w:ind w:left="1453" w:firstLine="0" w:firstLineChars="0"/>
        <w:jc w:val="center"/>
        <w:rPr>
          <w:rFonts w:ascii="新宋体" w:hAnsi="新宋体" w:eastAsia="新宋体" w:cs="新宋体"/>
          <w:b/>
          <w:color w:val="auto"/>
          <w:sz w:val="22"/>
          <w:szCs w:val="22"/>
          <w:highlight w:val="none"/>
        </w:rPr>
      </w:pPr>
      <w:r>
        <w:rPr>
          <w:rFonts w:hint="eastAsia"/>
          <w:color w:val="auto"/>
          <w:sz w:val="22"/>
          <w:szCs w:val="22"/>
          <w:highlight w:val="none"/>
        </w:rPr>
        <w:t>签订时间：   年  月   日</w:t>
      </w:r>
    </w:p>
    <w:p>
      <w:pPr>
        <w:spacing w:line="440" w:lineRule="exact"/>
        <w:jc w:val="center"/>
        <w:rPr>
          <w:rFonts w:ascii="新宋体" w:hAnsi="新宋体" w:eastAsia="新宋体" w:cs="新宋体"/>
          <w:b/>
          <w:color w:val="auto"/>
          <w:sz w:val="28"/>
          <w:szCs w:val="28"/>
          <w:highlight w:val="none"/>
        </w:rPr>
      </w:pPr>
    </w:p>
    <w:p>
      <w:pPr>
        <w:spacing w:line="400" w:lineRule="exact"/>
        <w:ind w:firstLine="2891" w:firstLineChars="900"/>
        <w:rPr>
          <w:rFonts w:ascii="宋体" w:hAnsi="宋体"/>
          <w:b/>
          <w:color w:val="auto"/>
          <w:sz w:val="32"/>
          <w:szCs w:val="32"/>
          <w:highlight w:val="none"/>
        </w:rPr>
      </w:pPr>
      <w:r>
        <w:rPr>
          <w:rFonts w:hint="eastAsia" w:ascii="宋体" w:hAnsi="宋体"/>
          <w:b/>
          <w:color w:val="auto"/>
          <w:sz w:val="32"/>
          <w:szCs w:val="32"/>
          <w:highlight w:val="none"/>
        </w:rPr>
        <w:t>（二）合同主要条款</w:t>
      </w:r>
    </w:p>
    <w:p>
      <w:pPr>
        <w:pStyle w:val="18"/>
        <w:snapToGrid w:val="0"/>
        <w:spacing w:line="360" w:lineRule="auto"/>
        <w:ind w:right="420"/>
        <w:rPr>
          <w:rFonts w:hAnsi="宋体" w:cs="Arial"/>
          <w:color w:val="auto"/>
          <w:highlight w:val="none"/>
        </w:rPr>
      </w:pPr>
    </w:p>
    <w:p>
      <w:pPr>
        <w:spacing w:line="360" w:lineRule="auto"/>
        <w:rPr>
          <w:rFonts w:ascii="宋体" w:hAnsi="宋体"/>
          <w:color w:val="auto"/>
          <w:sz w:val="22"/>
          <w:szCs w:val="22"/>
          <w:highlight w:val="none"/>
        </w:rPr>
      </w:pPr>
      <w:r>
        <w:rPr>
          <w:rFonts w:hint="eastAsia" w:ascii="宋体" w:hAnsi="宋体"/>
          <w:color w:val="auto"/>
          <w:sz w:val="22"/>
          <w:szCs w:val="22"/>
          <w:highlight w:val="none"/>
        </w:rPr>
        <w:t>甲方：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(以下简称甲方)</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乙方：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(以下简称乙方)</w:t>
      </w:r>
    </w:p>
    <w:p>
      <w:pPr>
        <w:spacing w:line="360" w:lineRule="auto"/>
        <w:rPr>
          <w:rFonts w:ascii="宋体" w:hAnsi="宋体"/>
          <w:color w:val="auto"/>
          <w:sz w:val="22"/>
          <w:szCs w:val="22"/>
          <w:highlight w:val="none"/>
        </w:rPr>
      </w:pPr>
    </w:p>
    <w:p>
      <w:pPr>
        <w:spacing w:line="360" w:lineRule="auto"/>
        <w:ind w:left="279" w:leftChars="133" w:firstLine="473" w:firstLineChars="215"/>
        <w:rPr>
          <w:rFonts w:ascii="宋体" w:hAnsi="宋体"/>
          <w:color w:val="auto"/>
          <w:sz w:val="22"/>
          <w:szCs w:val="22"/>
          <w:highlight w:val="none"/>
        </w:rPr>
      </w:pPr>
      <w:r>
        <w:rPr>
          <w:rFonts w:hint="eastAsia" w:ascii="宋体" w:hAnsi="宋体"/>
          <w:color w:val="auto"/>
          <w:sz w:val="22"/>
          <w:szCs w:val="22"/>
          <w:highlight w:val="none"/>
        </w:rPr>
        <w:t>甲方于2021年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项目进行公开招标。经过竞争，乙方中标。现为明确甲乙双方权利义务，经协商，达成如下协议：</w:t>
      </w:r>
    </w:p>
    <w:p>
      <w:pPr>
        <w:numPr>
          <w:ilvl w:val="0"/>
          <w:numId w:val="27"/>
        </w:numPr>
        <w:spacing w:line="360" w:lineRule="auto"/>
        <w:rPr>
          <w:rFonts w:ascii="宋体" w:hAnsi="宋体"/>
          <w:bCs/>
          <w:color w:val="auto"/>
          <w:sz w:val="22"/>
          <w:szCs w:val="22"/>
          <w:highlight w:val="none"/>
        </w:rPr>
      </w:pPr>
      <w:r>
        <w:rPr>
          <w:rFonts w:hint="eastAsia" w:ascii="宋体" w:hAnsi="宋体"/>
          <w:b/>
          <w:color w:val="auto"/>
          <w:sz w:val="22"/>
          <w:szCs w:val="22"/>
          <w:highlight w:val="none"/>
        </w:rPr>
        <w:t xml:space="preserve">合同的标的、规格、价格                                  </w:t>
      </w:r>
      <w:r>
        <w:rPr>
          <w:rFonts w:hint="eastAsia" w:ascii="宋体" w:hAnsi="宋体"/>
          <w:bCs/>
          <w:color w:val="auto"/>
          <w:sz w:val="22"/>
          <w:szCs w:val="22"/>
          <w:highlight w:val="none"/>
        </w:rPr>
        <w:t>（价格单位：人民币元）</w:t>
      </w:r>
    </w:p>
    <w:tbl>
      <w:tblPr>
        <w:tblStyle w:val="30"/>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235"/>
        <w:gridCol w:w="1890"/>
        <w:gridCol w:w="2475"/>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苗木名称</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规格</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综合单价</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auto"/>
                <w:kern w:val="0"/>
                <w:sz w:val="22"/>
                <w:szCs w:val="22"/>
                <w:highlight w:val="none"/>
              </w:rPr>
            </w:pPr>
          </w:p>
        </w:tc>
      </w:tr>
    </w:tbl>
    <w:p>
      <w:pPr>
        <w:pStyle w:val="20"/>
        <w:spacing w:line="360" w:lineRule="auto"/>
        <w:ind w:left="638" w:leftChars="304" w:firstLine="110" w:firstLineChars="50"/>
        <w:rPr>
          <w:rFonts w:ascii="宋体" w:hAnsi="宋体"/>
          <w:color w:val="auto"/>
          <w:sz w:val="22"/>
          <w:szCs w:val="22"/>
          <w:highlight w:val="none"/>
        </w:rPr>
      </w:pPr>
      <w:r>
        <w:rPr>
          <w:rFonts w:hint="eastAsia" w:ascii="宋体" w:hAnsi="宋体"/>
          <w:color w:val="auto"/>
          <w:sz w:val="22"/>
          <w:szCs w:val="22"/>
          <w:highlight w:val="none"/>
        </w:rPr>
        <w:t>说明：本合同价格</w:t>
      </w:r>
      <w:r>
        <w:rPr>
          <w:rFonts w:hint="eastAsia" w:ascii="宋体" w:hAnsi="宋体"/>
          <w:bCs/>
          <w:color w:val="auto"/>
          <w:sz w:val="22"/>
          <w:szCs w:val="22"/>
          <w:highlight w:val="none"/>
        </w:rPr>
        <w:t>包括了包括了苗木采购、起挖、包装、装车、运输、办理检疫、利润、税金、采购代理服务费等完成合同所需的一切本身和不可或缺的所有工作开支、政策性文件规定及合同包含的所有风险、责任等各项全部费用。实行固定综合单价总包干，具体采购数量以甲方全年实际需求量为准，由此产生的风险由乙方自行考虑并承担。</w:t>
      </w:r>
    </w:p>
    <w:p>
      <w:pPr>
        <w:numPr>
          <w:ilvl w:val="0"/>
          <w:numId w:val="27"/>
        </w:numPr>
        <w:spacing w:line="360" w:lineRule="auto"/>
        <w:rPr>
          <w:rFonts w:ascii="宋体" w:hAnsi="宋体"/>
          <w:b/>
          <w:color w:val="auto"/>
          <w:sz w:val="22"/>
          <w:szCs w:val="22"/>
          <w:highlight w:val="none"/>
        </w:rPr>
      </w:pPr>
      <w:r>
        <w:rPr>
          <w:rFonts w:hint="eastAsia" w:ascii="宋体" w:hAnsi="宋体"/>
          <w:b/>
          <w:color w:val="auto"/>
          <w:sz w:val="22"/>
          <w:szCs w:val="22"/>
          <w:highlight w:val="none"/>
        </w:rPr>
        <w:t>质量要求</w:t>
      </w:r>
    </w:p>
    <w:p>
      <w:pPr>
        <w:spacing w:line="360" w:lineRule="auto"/>
        <w:ind w:left="687" w:leftChars="170" w:hanging="330" w:hangingChars="150"/>
        <w:rPr>
          <w:rFonts w:ascii="宋体" w:hAnsi="宋体"/>
          <w:color w:val="auto"/>
          <w:sz w:val="22"/>
          <w:szCs w:val="22"/>
          <w:highlight w:val="none"/>
        </w:rPr>
      </w:pPr>
      <w:r>
        <w:rPr>
          <w:rFonts w:hint="eastAsia" w:ascii="宋体" w:hAnsi="宋体"/>
          <w:color w:val="auto"/>
          <w:sz w:val="22"/>
          <w:szCs w:val="22"/>
          <w:highlight w:val="none"/>
        </w:rPr>
        <w:t>　乙方所提供的花卉苗木质量须达到如下标准：</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所供的花卉苗木必须符合采购清单中的规格、数量要求，植物生长健壮、饱满、无病枝叶、无残枝。 </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乙方提供的乔木树干通直，须带泥球，泥球按规范要求定大小且结实不松散，树冠四面匀称；到达甲方交货现场的乔木需保证树皮完好不破损，生长健壮，无病虫害，质量和规格符合规范要求。</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灌木泥球紧实不松散，蓬型大小符合甲方要求，并且保证同一批灌木冠型匀称。</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所有花卉苗木移植时应保持根系完整和根系湿润；起挖苗木根系切口要平滑，根系无劈裂、无拉断、无干枯现象，裸根花卉苗木保留主根、根幅必须达到规定标准且必须保留侧根和须根。</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供应的花卉苗木规格除清单内主控规格外，未标明的规格如胸径、地径、高度、冠幅、土球、密实度、树形等其他质量控制要求需按照甲方现场种植要求配合提供。</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在种植季节内乙方提供的苗木成活率要求在95%（含）以上，成活率在95%以下的，乙方应当补种，一切补种费用由乙方承担。</w:t>
      </w:r>
    </w:p>
    <w:p>
      <w:pPr>
        <w:numPr>
          <w:ilvl w:val="0"/>
          <w:numId w:val="28"/>
        </w:numPr>
        <w:spacing w:line="360" w:lineRule="auto"/>
        <w:ind w:left="546" w:hanging="545" w:hangingChars="248"/>
        <w:rPr>
          <w:rFonts w:ascii="宋体" w:hAnsi="宋体"/>
          <w:color w:val="auto"/>
          <w:sz w:val="22"/>
          <w:szCs w:val="22"/>
          <w:highlight w:val="none"/>
        </w:rPr>
      </w:pPr>
      <w:r>
        <w:rPr>
          <w:rFonts w:hint="eastAsia" w:ascii="宋体" w:hAnsi="宋体"/>
          <w:color w:val="auto"/>
          <w:sz w:val="22"/>
          <w:szCs w:val="22"/>
          <w:highlight w:val="none"/>
        </w:rPr>
        <w:t xml:space="preserve">  花卉苗木的包装要求应符合行业的一般标准。</w:t>
      </w:r>
    </w:p>
    <w:p>
      <w:pPr>
        <w:spacing w:line="360" w:lineRule="auto"/>
        <w:rPr>
          <w:rFonts w:ascii="宋体" w:hAnsi="宋体"/>
          <w:b/>
          <w:color w:val="auto"/>
          <w:sz w:val="22"/>
          <w:szCs w:val="22"/>
          <w:highlight w:val="none"/>
        </w:rPr>
      </w:pPr>
      <w:r>
        <w:rPr>
          <w:rFonts w:hint="eastAsia" w:ascii="宋体" w:hAnsi="宋体"/>
          <w:b/>
          <w:color w:val="auto"/>
          <w:sz w:val="22"/>
          <w:szCs w:val="22"/>
          <w:highlight w:val="none"/>
        </w:rPr>
        <w:t>三、付款方式</w:t>
      </w:r>
    </w:p>
    <w:p>
      <w:pPr>
        <w:tabs>
          <w:tab w:val="left" w:pos="540"/>
        </w:tabs>
        <w:spacing w:line="360" w:lineRule="auto"/>
        <w:ind w:left="440"/>
        <w:rPr>
          <w:rFonts w:ascii="宋体" w:hAnsi="宋体" w:cs="楷体"/>
          <w:b/>
          <w:bCs/>
          <w:iCs/>
          <w:color w:val="auto"/>
          <w:sz w:val="22"/>
          <w:szCs w:val="22"/>
          <w:highlight w:val="none"/>
          <w:u w:val="single"/>
        </w:rPr>
      </w:pPr>
      <w:r>
        <w:rPr>
          <w:rFonts w:hint="eastAsia" w:ascii="宋体" w:hAnsi="宋体" w:cs="楷体"/>
          <w:b/>
          <w:bCs/>
          <w:iCs/>
          <w:color w:val="auto"/>
          <w:sz w:val="22"/>
          <w:szCs w:val="22"/>
          <w:highlight w:val="none"/>
          <w:u w:val="single"/>
        </w:rPr>
        <w:t>在合同签订前乙方应向甲方提供合同总价10</w:t>
      </w:r>
      <w:r>
        <w:rPr>
          <w:rFonts w:ascii="宋体" w:hAnsi="宋体" w:cs="楷体"/>
          <w:b/>
          <w:bCs/>
          <w:iCs/>
          <w:color w:val="auto"/>
          <w:sz w:val="22"/>
          <w:szCs w:val="22"/>
          <w:highlight w:val="none"/>
          <w:u w:val="single"/>
        </w:rPr>
        <w:t>%</w:t>
      </w:r>
      <w:r>
        <w:rPr>
          <w:rFonts w:hint="eastAsia" w:ascii="宋体" w:hAnsi="宋体" w:cs="楷体"/>
          <w:b/>
          <w:bCs/>
          <w:iCs/>
          <w:color w:val="auto"/>
          <w:sz w:val="22"/>
          <w:szCs w:val="22"/>
          <w:highlight w:val="none"/>
          <w:u w:val="single"/>
        </w:rPr>
        <w:t>的履约保证金，如乙方未按规定提交履约保证金则甲方有权拒签合同。待合同签订后，甲方根据每个季度乙方完成的供货量，向乙方支付已完成供货量的合同价款，付款前乙方应提供符合甲方要求增值税发票。待合同期满且合格交付验收后，甲方无息退还履约保证金。</w:t>
      </w:r>
    </w:p>
    <w:p>
      <w:pPr>
        <w:spacing w:line="360" w:lineRule="auto"/>
        <w:rPr>
          <w:rFonts w:ascii="宋体" w:hAnsi="宋体"/>
          <w:b/>
          <w:color w:val="auto"/>
          <w:sz w:val="22"/>
          <w:szCs w:val="22"/>
          <w:highlight w:val="none"/>
        </w:rPr>
      </w:pPr>
      <w:r>
        <w:rPr>
          <w:rFonts w:hint="eastAsia" w:ascii="宋体" w:hAnsi="宋体"/>
          <w:b/>
          <w:color w:val="auto"/>
          <w:sz w:val="22"/>
          <w:szCs w:val="22"/>
          <w:highlight w:val="none"/>
        </w:rPr>
        <w:t>四、供货周期</w:t>
      </w:r>
    </w:p>
    <w:p>
      <w:pPr>
        <w:pStyle w:val="39"/>
        <w:spacing w:line="360" w:lineRule="auto"/>
        <w:rPr>
          <w:color w:val="auto"/>
          <w:highlight w:val="none"/>
        </w:rPr>
      </w:pPr>
      <w:r>
        <w:rPr>
          <w:rFonts w:hint="eastAsia" w:ascii="宋体" w:hAnsi="宋体"/>
          <w:color w:val="auto"/>
          <w:sz w:val="22"/>
          <w:szCs w:val="22"/>
          <w:highlight w:val="none"/>
        </w:rPr>
        <w:t xml:space="preserve">    供货周期：本合同供货周期为1年，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日起至</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日止。</w:t>
      </w:r>
    </w:p>
    <w:p>
      <w:pPr>
        <w:spacing w:line="360" w:lineRule="auto"/>
        <w:rPr>
          <w:rFonts w:ascii="宋体" w:hAnsi="宋体"/>
          <w:b/>
          <w:color w:val="auto"/>
          <w:sz w:val="22"/>
          <w:szCs w:val="22"/>
          <w:highlight w:val="none"/>
        </w:rPr>
      </w:pPr>
      <w:r>
        <w:rPr>
          <w:rFonts w:hint="eastAsia" w:ascii="宋体" w:hAnsi="宋体"/>
          <w:b/>
          <w:color w:val="auto"/>
          <w:sz w:val="22"/>
          <w:szCs w:val="22"/>
          <w:highlight w:val="none"/>
        </w:rPr>
        <w:t>五、</w:t>
      </w:r>
      <w:r>
        <w:rPr>
          <w:rFonts w:ascii="宋体" w:hAnsi="宋体"/>
          <w:b/>
          <w:color w:val="auto"/>
          <w:sz w:val="22"/>
          <w:szCs w:val="22"/>
          <w:highlight w:val="none"/>
        </w:rPr>
        <w:t>交货时间、地点及验货方法</w:t>
      </w:r>
      <w:r>
        <w:rPr>
          <w:rFonts w:hint="eastAsia" w:ascii="宋体" w:hAnsi="宋体"/>
          <w:b/>
          <w:color w:val="auto"/>
          <w:sz w:val="22"/>
          <w:szCs w:val="22"/>
          <w:highlight w:val="none"/>
        </w:rPr>
        <w:t>、验收标准</w:t>
      </w:r>
      <w:r>
        <w:rPr>
          <w:rFonts w:ascii="宋体" w:hAnsi="宋体"/>
          <w:b/>
          <w:color w:val="auto"/>
          <w:sz w:val="22"/>
          <w:szCs w:val="22"/>
          <w:highlight w:val="none"/>
        </w:rPr>
        <w:t xml:space="preserve"> </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1.  </w:t>
      </w:r>
      <w:r>
        <w:rPr>
          <w:rFonts w:ascii="宋体" w:hAnsi="宋体"/>
          <w:color w:val="auto"/>
          <w:sz w:val="22"/>
          <w:szCs w:val="22"/>
          <w:highlight w:val="none"/>
        </w:rPr>
        <w:t>交货地点：</w:t>
      </w:r>
      <w:r>
        <w:rPr>
          <w:rFonts w:hint="eastAsia" w:ascii="宋体" w:hAnsi="宋体"/>
          <w:color w:val="auto"/>
          <w:sz w:val="22"/>
          <w:szCs w:val="22"/>
          <w:highlight w:val="none"/>
          <w:u w:val="single"/>
        </w:rPr>
        <w:t>甲</w:t>
      </w:r>
      <w:r>
        <w:rPr>
          <w:rFonts w:ascii="宋体" w:hAnsi="宋体"/>
          <w:color w:val="auto"/>
          <w:sz w:val="22"/>
          <w:szCs w:val="22"/>
          <w:highlight w:val="none"/>
          <w:u w:val="single"/>
        </w:rPr>
        <w:t>方</w:t>
      </w:r>
      <w:r>
        <w:rPr>
          <w:rFonts w:hint="eastAsia" w:ascii="宋体" w:hAnsi="宋体"/>
          <w:color w:val="auto"/>
          <w:sz w:val="22"/>
          <w:szCs w:val="22"/>
          <w:highlight w:val="none"/>
          <w:u w:val="single"/>
        </w:rPr>
        <w:t>指定种植地点</w:t>
      </w:r>
      <w:r>
        <w:rPr>
          <w:rFonts w:ascii="宋体" w:hAnsi="宋体"/>
          <w:color w:val="auto"/>
          <w:sz w:val="22"/>
          <w:szCs w:val="22"/>
          <w:highlight w:val="none"/>
          <w:u w:val="single"/>
        </w:rPr>
        <w:t>。</w:t>
      </w:r>
      <w:r>
        <w:rPr>
          <w:rFonts w:ascii="宋体" w:hAnsi="宋体"/>
          <w:color w:val="auto"/>
          <w:sz w:val="22"/>
          <w:szCs w:val="22"/>
          <w:highlight w:val="none"/>
        </w:rPr>
        <w:t xml:space="preserve"> </w:t>
      </w:r>
    </w:p>
    <w:p>
      <w:pPr>
        <w:spacing w:line="360" w:lineRule="auto"/>
        <w:ind w:left="440" w:hanging="440" w:hangingChars="200"/>
        <w:rPr>
          <w:rFonts w:ascii="宋体" w:hAnsi="宋体"/>
          <w:color w:val="auto"/>
          <w:sz w:val="22"/>
          <w:szCs w:val="22"/>
          <w:highlight w:val="none"/>
          <w:u w:val="single"/>
        </w:rPr>
      </w:pPr>
      <w:r>
        <w:rPr>
          <w:rFonts w:hint="eastAsia" w:ascii="宋体" w:hAnsi="宋体"/>
          <w:color w:val="auto"/>
          <w:sz w:val="22"/>
          <w:szCs w:val="22"/>
          <w:highlight w:val="none"/>
        </w:rPr>
        <w:t xml:space="preserve">2.  </w:t>
      </w:r>
      <w:r>
        <w:rPr>
          <w:rFonts w:ascii="宋体" w:hAnsi="宋体"/>
          <w:color w:val="auto"/>
          <w:sz w:val="22"/>
          <w:szCs w:val="22"/>
          <w:highlight w:val="none"/>
        </w:rPr>
        <w:t>交货时间：</w:t>
      </w:r>
      <w:r>
        <w:rPr>
          <w:rFonts w:hint="eastAsia" w:ascii="新宋体" w:hAnsi="新宋体" w:eastAsia="新宋体"/>
          <w:color w:val="auto"/>
          <w:sz w:val="22"/>
          <w:highlight w:val="none"/>
          <w:u w:val="single"/>
        </w:rPr>
        <w:t>供货须按照甲方要求进行分批分量供应，在接到甲方的通知三个日历天之内</w:t>
      </w:r>
      <w:r>
        <w:rPr>
          <w:rFonts w:hint="eastAsia" w:ascii="新宋体" w:hAnsi="新宋体" w:eastAsia="新宋体"/>
          <w:color w:val="auto"/>
          <w:sz w:val="22"/>
          <w:szCs w:val="22"/>
          <w:highlight w:val="none"/>
          <w:u w:val="single"/>
        </w:rPr>
        <w:t>按通知中规定的花卉苗木品种数量要求直接装车</w:t>
      </w:r>
      <w:r>
        <w:rPr>
          <w:rFonts w:hint="eastAsia" w:ascii="新宋体" w:hAnsi="新宋体" w:eastAsia="新宋体"/>
          <w:color w:val="auto"/>
          <w:sz w:val="22"/>
          <w:highlight w:val="none"/>
          <w:u w:val="single"/>
        </w:rPr>
        <w:t>送达至甲方指定种植地点</w:t>
      </w:r>
      <w:r>
        <w:rPr>
          <w:rFonts w:hint="eastAsia" w:ascii="宋体" w:hAnsi="宋体"/>
          <w:color w:val="auto"/>
          <w:sz w:val="22"/>
          <w:szCs w:val="22"/>
          <w:highlight w:val="none"/>
          <w:u w:val="single"/>
        </w:rPr>
        <w:t>。</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3.  交货方式：</w:t>
      </w:r>
      <w:r>
        <w:rPr>
          <w:rFonts w:hint="eastAsia" w:ascii="宋体" w:hAnsi="宋体"/>
          <w:color w:val="auto"/>
          <w:sz w:val="22"/>
          <w:szCs w:val="22"/>
          <w:highlight w:val="none"/>
          <w:u w:val="single"/>
        </w:rPr>
        <w:t>现场交货。乙方负责将花卉苗木运抵甲方指定的种植现场并落地就位，由甲方组织验收。所有花卉苗木运抵现场并经验收合格的日期为交货日期。验收不合格花卉苗木乙方无条件更换。所有费用乙方自理。</w:t>
      </w:r>
    </w:p>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rPr>
        <w:t xml:space="preserve">4.  </w:t>
      </w:r>
      <w:r>
        <w:rPr>
          <w:rFonts w:ascii="宋体" w:hAnsi="宋体"/>
          <w:color w:val="auto"/>
          <w:sz w:val="22"/>
          <w:szCs w:val="22"/>
          <w:highlight w:val="none"/>
        </w:rPr>
        <w:t>验货方法</w:t>
      </w:r>
      <w:r>
        <w:rPr>
          <w:rFonts w:hint="eastAsia" w:ascii="宋体" w:hAnsi="宋体"/>
          <w:color w:val="auto"/>
          <w:sz w:val="22"/>
          <w:szCs w:val="22"/>
          <w:highlight w:val="none"/>
        </w:rPr>
        <w:t>：</w:t>
      </w:r>
      <w:r>
        <w:rPr>
          <w:rFonts w:ascii="宋体" w:hAnsi="宋体"/>
          <w:color w:val="auto"/>
          <w:sz w:val="22"/>
          <w:szCs w:val="22"/>
          <w:highlight w:val="none"/>
          <w:u w:val="single"/>
        </w:rPr>
        <w:t>在</w:t>
      </w:r>
      <w:r>
        <w:rPr>
          <w:rFonts w:hint="eastAsia" w:ascii="宋体" w:hAnsi="宋体"/>
          <w:color w:val="auto"/>
          <w:sz w:val="22"/>
          <w:szCs w:val="22"/>
          <w:highlight w:val="none"/>
          <w:u w:val="single"/>
        </w:rPr>
        <w:t>甲</w:t>
      </w:r>
      <w:r>
        <w:rPr>
          <w:rFonts w:ascii="宋体" w:hAnsi="宋体"/>
          <w:color w:val="auto"/>
          <w:sz w:val="22"/>
          <w:szCs w:val="22"/>
          <w:highlight w:val="none"/>
          <w:u w:val="single"/>
        </w:rPr>
        <w:t>方</w:t>
      </w:r>
      <w:r>
        <w:rPr>
          <w:rFonts w:hint="eastAsia" w:ascii="宋体" w:hAnsi="宋体"/>
          <w:color w:val="auto"/>
          <w:sz w:val="22"/>
          <w:szCs w:val="22"/>
          <w:highlight w:val="none"/>
          <w:u w:val="single"/>
        </w:rPr>
        <w:t>指定的花卉</w:t>
      </w:r>
      <w:r>
        <w:rPr>
          <w:rFonts w:ascii="宋体" w:hAnsi="宋体"/>
          <w:color w:val="auto"/>
          <w:sz w:val="22"/>
          <w:szCs w:val="22"/>
          <w:highlight w:val="none"/>
          <w:u w:val="single"/>
        </w:rPr>
        <w:t>苗木种植地按本合同的规定标准现场验苗</w:t>
      </w:r>
      <w:r>
        <w:rPr>
          <w:rFonts w:hint="eastAsia" w:ascii="宋体" w:hAnsi="宋体"/>
          <w:color w:val="auto"/>
          <w:sz w:val="22"/>
          <w:szCs w:val="22"/>
          <w:highlight w:val="none"/>
          <w:u w:val="single"/>
        </w:rPr>
        <w:t>。</w:t>
      </w:r>
    </w:p>
    <w:p>
      <w:pPr>
        <w:spacing w:line="360" w:lineRule="auto"/>
        <w:rPr>
          <w:rFonts w:ascii="宋体" w:hAnsi="宋体"/>
          <w:color w:val="auto"/>
          <w:sz w:val="22"/>
          <w:szCs w:val="22"/>
          <w:highlight w:val="none"/>
          <w:u w:val="single"/>
        </w:rPr>
      </w:pPr>
      <w:r>
        <w:rPr>
          <w:rFonts w:hint="eastAsia" w:ascii="宋体" w:hAnsi="宋体"/>
          <w:color w:val="auto"/>
          <w:sz w:val="22"/>
          <w:szCs w:val="22"/>
          <w:highlight w:val="none"/>
        </w:rPr>
        <w:t>5.  验收标准：</w:t>
      </w:r>
      <w:r>
        <w:rPr>
          <w:rFonts w:hint="eastAsia" w:ascii="宋体" w:hAnsi="宋体"/>
          <w:color w:val="auto"/>
          <w:sz w:val="22"/>
          <w:szCs w:val="22"/>
          <w:highlight w:val="none"/>
          <w:u w:val="single"/>
        </w:rPr>
        <w:t>参照相关规范、标准及合同的质量要求。</w:t>
      </w:r>
    </w:p>
    <w:p>
      <w:pPr>
        <w:spacing w:line="360" w:lineRule="auto"/>
        <w:rPr>
          <w:rFonts w:ascii="宋体" w:hAnsi="宋体"/>
          <w:b/>
          <w:color w:val="auto"/>
          <w:sz w:val="22"/>
          <w:szCs w:val="22"/>
          <w:highlight w:val="none"/>
        </w:rPr>
      </w:pPr>
      <w:r>
        <w:rPr>
          <w:rFonts w:hint="eastAsia" w:ascii="宋体" w:hAnsi="宋体"/>
          <w:b/>
          <w:color w:val="auto"/>
          <w:sz w:val="22"/>
          <w:szCs w:val="22"/>
          <w:highlight w:val="none"/>
        </w:rPr>
        <w:t>六、双方的权利和义务</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乙方应按合同规定的时间和质量，提供给甲方所需的花卉苗木，保证不提供假苗。</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2． 甲方应按合同的规定按时支付货款。</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3.  甲方由于计划调整或其他原因使得需要的花卉苗木数量与品种变化，最终导致项目结算金额未达到合同标的额的，乙方不得对差额提出索赔。</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4.  乙方必须严格按照甲方所需的花卉苗木规格要求供货，①乙方若缺货导致在规定时间无法提供合同约定的货物，甲方将自行联系其他供应商进行采购，该采购费用由乙方支付，甲方仅按乙方中标单价支付货款，差价由乙方承担。②若乙方提供的货物规格达不到甲方的要求，乙方应无条件接受退货，并承担由此所产生的费用，同时应在三个日历天内再次供货，否则甲方将自行联系其他供应商进行采购，该采购费用由乙方支付，甲方仅按乙方中标单价支付货款，差价由乙方承担。</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5.  如在合同期内累计退货3次（含3次）以上，甲方将扣除当次供货合同总价的3%金额，如退货超过5次，甲方有权要求终止合同。</w:t>
      </w:r>
    </w:p>
    <w:p>
      <w:pPr>
        <w:shd w:val="clear" w:color="auto" w:fill="FFFFFF"/>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七、乙方履约延误</w:t>
      </w:r>
    </w:p>
    <w:p>
      <w:pPr>
        <w:spacing w:line="360" w:lineRule="auto"/>
        <w:rPr>
          <w:rFonts w:ascii="宋体" w:hAnsi="宋体"/>
          <w:bCs/>
          <w:color w:val="auto"/>
          <w:sz w:val="22"/>
          <w:szCs w:val="22"/>
          <w:highlight w:val="none"/>
        </w:rPr>
      </w:pPr>
      <w:r>
        <w:rPr>
          <w:rFonts w:hint="eastAsia" w:ascii="宋体" w:hAnsi="宋体"/>
          <w:color w:val="auto"/>
          <w:sz w:val="22"/>
          <w:szCs w:val="22"/>
          <w:highlight w:val="none"/>
        </w:rPr>
        <w:t>1.  乙方应按照合同的规定按甲方的书面通知分批次分量交付花卉苗木。</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2.  在履行合同过程中，如果乙方遇到妨碍按时交货的情况时，应及时以书面形式将延误的事实、可能拖延的时间和原因通知甲方。甲方在收到乙方通知后，应尽快对情况进行分析评价，并确定是否同意延长交货时间以及是否收取误期赔偿费。</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3.  除由于不可抗力事件的影响不能履行合同或经甲方同意而不收取误期赔偿费外，乙方延误交货或提供服务应按合同条款第八条的规定被收取误期赔偿费。</w:t>
      </w:r>
    </w:p>
    <w:p>
      <w:pPr>
        <w:spacing w:line="360" w:lineRule="auto"/>
        <w:ind w:left="442" w:hanging="442" w:hangingChars="200"/>
        <w:rPr>
          <w:rFonts w:ascii="宋体" w:hAnsi="宋体"/>
          <w:b/>
          <w:bCs/>
          <w:color w:val="auto"/>
          <w:sz w:val="22"/>
          <w:szCs w:val="22"/>
          <w:highlight w:val="none"/>
        </w:rPr>
      </w:pPr>
      <w:r>
        <w:rPr>
          <w:rFonts w:hint="eastAsia" w:ascii="宋体" w:hAnsi="宋体"/>
          <w:b/>
          <w:bCs/>
          <w:color w:val="auto"/>
          <w:sz w:val="22"/>
          <w:szCs w:val="22"/>
          <w:highlight w:val="none"/>
        </w:rPr>
        <w:t>八、误期赔偿费</w:t>
      </w:r>
    </w:p>
    <w:p>
      <w:pPr>
        <w:spacing w:line="360" w:lineRule="auto"/>
        <w:ind w:left="437" w:leftChars="208"/>
        <w:rPr>
          <w:rFonts w:ascii="宋体" w:hAnsi="宋体"/>
          <w:color w:val="auto"/>
          <w:sz w:val="22"/>
          <w:szCs w:val="22"/>
          <w:highlight w:val="none"/>
        </w:rPr>
      </w:pPr>
      <w:r>
        <w:rPr>
          <w:rFonts w:hint="eastAsia" w:ascii="宋体" w:hAnsi="宋体"/>
          <w:color w:val="auto"/>
          <w:sz w:val="22"/>
          <w:szCs w:val="22"/>
          <w:highlight w:val="none"/>
        </w:rPr>
        <w:t>除不可抗力外，如果乙方没有按照甲方要求的时间交付苗木，甲方可以从合同价款中扣除误期赔偿费。每延误一天的赔偿费按该批次苗木价款的百分之零点五（0.5%</w:t>
      </w:r>
      <w:r>
        <w:rPr>
          <w:rFonts w:ascii="宋体" w:hAnsi="宋体"/>
          <w:color w:val="auto"/>
          <w:sz w:val="22"/>
          <w:szCs w:val="22"/>
          <w:highlight w:val="none"/>
        </w:rPr>
        <w:t>）</w:t>
      </w:r>
      <w:r>
        <w:rPr>
          <w:rFonts w:hint="eastAsia" w:ascii="宋体" w:hAnsi="宋体"/>
          <w:color w:val="auto"/>
          <w:sz w:val="22"/>
          <w:szCs w:val="22"/>
          <w:highlight w:val="none"/>
        </w:rPr>
        <w:t>计收，直至交货为止。误期赔偿费最高限额为合同价的百分之五（5%）。延误达到3天的，甲方有权要求终止合同。</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九、不可抗力</w:t>
      </w:r>
    </w:p>
    <w:p>
      <w:pPr>
        <w:spacing w:line="360" w:lineRule="auto"/>
        <w:ind w:left="437" w:leftChars="208"/>
        <w:rPr>
          <w:rFonts w:ascii="宋体" w:hAnsi="宋体"/>
          <w:color w:val="auto"/>
          <w:sz w:val="22"/>
          <w:szCs w:val="22"/>
          <w:highlight w:val="none"/>
        </w:rPr>
      </w:pPr>
      <w:r>
        <w:rPr>
          <w:rFonts w:hint="eastAsia" w:ascii="宋体" w:hAnsi="宋体"/>
          <w:color w:val="auto"/>
          <w:sz w:val="22"/>
          <w:szCs w:val="22"/>
          <w:highlight w:val="none"/>
        </w:rPr>
        <w:t>如果双方中任何一方由于战争、严重火灾、水灾、破坏性台风和地震以及其它经双方同意属不可抗力的事件，致使合同履行受阻时，履行合同期限经双方同意可以予以延长，延长时限应相当于事故所影响的时间，或双方协商解决。</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十、税费</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根据国家现行税法对甲方征收的与本合同有关的一切费用由甲方承担。</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2． 根据国家现行税法对乙方征收的与本合同有关的一切税费均由乙方承担。</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十一、违约终止合同</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甲方在乙方违约的情况下，如果发生下列情况之一，有权终止部分或全部合同：</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乙方未能在合同规定的期限内或甲方同意延长的期限内按照甲方要求提供合格的苗木。</w:t>
      </w:r>
    </w:p>
    <w:p>
      <w:pPr>
        <w:spacing w:line="360" w:lineRule="auto"/>
        <w:ind w:left="660" w:hanging="660" w:hangingChars="300"/>
        <w:rPr>
          <w:rFonts w:ascii="宋体" w:hAnsi="宋体"/>
          <w:color w:val="auto"/>
          <w:sz w:val="22"/>
          <w:szCs w:val="22"/>
          <w:highlight w:val="none"/>
        </w:rPr>
      </w:pPr>
      <w:r>
        <w:rPr>
          <w:rFonts w:hint="eastAsia" w:ascii="宋体" w:hAnsi="宋体"/>
          <w:color w:val="auto"/>
          <w:sz w:val="22"/>
          <w:szCs w:val="22"/>
          <w:highlight w:val="none"/>
        </w:rPr>
        <w:t>（2</w:t>
      </w:r>
      <w:r>
        <w:rPr>
          <w:rFonts w:hint="eastAsia" w:ascii="宋体" w:hAnsi="宋体"/>
          <w:color w:val="auto"/>
          <w:spacing w:val="40"/>
          <w:sz w:val="22"/>
          <w:szCs w:val="22"/>
          <w:highlight w:val="none"/>
        </w:rPr>
        <w:t>）</w:t>
      </w:r>
      <w:r>
        <w:rPr>
          <w:rFonts w:hint="eastAsia" w:ascii="宋体" w:hAnsi="宋体"/>
          <w:color w:val="auto"/>
          <w:sz w:val="22"/>
          <w:szCs w:val="22"/>
          <w:highlight w:val="none"/>
        </w:rPr>
        <w:t>乙方未能履行合同规定的任何其他义务。乙方在收到甲方发出的违约通知后10天内，或经甲方书面认可延长的时间内未能纠正其过失。甲方可向乙方发出书面通知，终止部分或合同全部，通知到达乙方时合同即行解除。在这种情况下，并不影响甲方向乙方提出的索赔。</w:t>
      </w:r>
    </w:p>
    <w:p>
      <w:pPr>
        <w:spacing w:line="360" w:lineRule="auto"/>
        <w:ind w:left="660" w:hanging="660" w:hangingChars="300"/>
        <w:rPr>
          <w:rFonts w:ascii="宋体" w:hAnsi="宋体"/>
          <w:color w:val="auto"/>
          <w:sz w:val="22"/>
          <w:szCs w:val="22"/>
          <w:highlight w:val="none"/>
        </w:rPr>
      </w:pPr>
      <w:r>
        <w:rPr>
          <w:rFonts w:hint="eastAsia" w:ascii="宋体" w:hAnsi="宋体"/>
          <w:color w:val="auto"/>
          <w:sz w:val="22"/>
          <w:szCs w:val="22"/>
          <w:highlight w:val="none"/>
        </w:rPr>
        <w:t>（3） 符合合同规定的其他终止合同的条件。</w:t>
      </w:r>
    </w:p>
    <w:p>
      <w:pPr>
        <w:spacing w:line="360" w:lineRule="auto"/>
        <w:ind w:left="440" w:hanging="440" w:hangingChars="200"/>
        <w:rPr>
          <w:rFonts w:ascii="宋体" w:hAnsi="宋体"/>
          <w:color w:val="auto"/>
          <w:sz w:val="22"/>
          <w:szCs w:val="22"/>
          <w:highlight w:val="none"/>
        </w:rPr>
      </w:pPr>
      <w:r>
        <w:rPr>
          <w:rFonts w:hint="eastAsia" w:ascii="宋体" w:hAnsi="宋体"/>
          <w:color w:val="auto"/>
          <w:sz w:val="22"/>
          <w:szCs w:val="22"/>
          <w:highlight w:val="none"/>
        </w:rPr>
        <w:t>2． 如果甲方根据前款的规定，终止了全部或部分合同，甲方可以依其认为适当的条件和方法购买剩余花卉苗木，乙方应承担甲方因此而产生的额外支出，并承担甲方因另行购买而超出按本合同中标单价购买相同规格、数量的花卉苗木的差价部分。但是，乙方应继续执行合同中未终止的部分。</w:t>
      </w:r>
    </w:p>
    <w:p>
      <w:pPr>
        <w:spacing w:line="360" w:lineRule="auto"/>
        <w:rPr>
          <w:rFonts w:ascii="宋体" w:hAnsi="宋体"/>
          <w:color w:val="auto"/>
          <w:sz w:val="22"/>
          <w:szCs w:val="22"/>
          <w:highlight w:val="none"/>
          <w:u w:val="single"/>
        </w:rPr>
      </w:pPr>
      <w:r>
        <w:rPr>
          <w:rFonts w:ascii="宋体" w:hAnsi="宋体"/>
          <w:color w:val="auto"/>
          <w:sz w:val="22"/>
          <w:szCs w:val="22"/>
          <w:highlight w:val="none"/>
        </w:rPr>
        <w:t>3</w:t>
      </w:r>
      <w:r>
        <w:rPr>
          <w:rFonts w:hint="eastAsia" w:ascii="宋体" w:hAnsi="宋体"/>
          <w:color w:val="auto"/>
          <w:sz w:val="22"/>
          <w:szCs w:val="22"/>
          <w:highlight w:val="none"/>
        </w:rPr>
        <w:t>．因乙方原因导致本合同解除的，乙方除承担本合同约定的其他违约责任外，还应向甲方支付合同</w:t>
      </w:r>
      <w:r>
        <w:rPr>
          <w:rFonts w:ascii="宋体" w:hAnsi="宋体"/>
          <w:color w:val="auto"/>
          <w:sz w:val="22"/>
          <w:szCs w:val="22"/>
          <w:highlight w:val="none"/>
        </w:rPr>
        <w:t>总金额</w:t>
      </w:r>
      <w:r>
        <w:rPr>
          <w:rFonts w:hint="eastAsia" w:ascii="宋体" w:hAnsi="宋体"/>
          <w:color w:val="auto"/>
          <w:sz w:val="22"/>
          <w:szCs w:val="22"/>
          <w:highlight w:val="none"/>
        </w:rPr>
        <w:t>1</w:t>
      </w:r>
      <w:r>
        <w:rPr>
          <w:rFonts w:ascii="宋体" w:hAnsi="宋体"/>
          <w:color w:val="auto"/>
          <w:sz w:val="22"/>
          <w:szCs w:val="22"/>
          <w:highlight w:val="none"/>
        </w:rPr>
        <w:t>5%</w:t>
      </w:r>
      <w:r>
        <w:rPr>
          <w:rFonts w:hint="eastAsia" w:ascii="宋体" w:hAnsi="宋体"/>
          <w:color w:val="auto"/>
          <w:sz w:val="22"/>
          <w:szCs w:val="22"/>
          <w:highlight w:val="none"/>
        </w:rPr>
        <w:t>的违约金</w:t>
      </w:r>
      <w:r>
        <w:rPr>
          <w:rFonts w:hint="eastAsia" w:ascii="宋体" w:hAnsi="宋体"/>
          <w:color w:val="auto"/>
          <w:sz w:val="22"/>
          <w:szCs w:val="22"/>
          <w:highlight w:val="none"/>
          <w:u w:val="single"/>
        </w:rPr>
        <w:t>。甲方有权在应支付给乙方的任何一笔款项中扣除乙方应承担的违约金、赔偿费等。</w:t>
      </w:r>
    </w:p>
    <w:p>
      <w:pPr>
        <w:spacing w:line="360" w:lineRule="auto"/>
        <w:rPr>
          <w:rFonts w:ascii="宋体" w:hAnsi="宋体"/>
          <w:b/>
          <w:color w:val="auto"/>
          <w:sz w:val="22"/>
          <w:szCs w:val="22"/>
          <w:highlight w:val="none"/>
        </w:rPr>
      </w:pPr>
      <w:r>
        <w:rPr>
          <w:rFonts w:hint="eastAsia" w:ascii="宋体" w:hAnsi="宋体"/>
          <w:b/>
          <w:bCs/>
          <w:color w:val="auto"/>
          <w:sz w:val="22"/>
          <w:szCs w:val="22"/>
          <w:highlight w:val="none"/>
        </w:rPr>
        <w:t>十二、</w:t>
      </w:r>
      <w:r>
        <w:rPr>
          <w:rFonts w:hint="eastAsia" w:ascii="宋体" w:hAnsi="宋体"/>
          <w:b/>
          <w:color w:val="auto"/>
          <w:sz w:val="22"/>
          <w:szCs w:val="22"/>
          <w:highlight w:val="none"/>
        </w:rPr>
        <w:t>双方责任</w:t>
      </w:r>
    </w:p>
    <w:p>
      <w:pPr>
        <w:spacing w:line="360" w:lineRule="auto"/>
        <w:ind w:firstLine="110" w:firstLineChars="50"/>
        <w:rPr>
          <w:rFonts w:ascii="宋体" w:hAnsi="宋体"/>
          <w:color w:val="auto"/>
          <w:sz w:val="22"/>
          <w:szCs w:val="22"/>
          <w:highlight w:val="none"/>
        </w:rPr>
      </w:pPr>
      <w:r>
        <w:rPr>
          <w:rFonts w:hint="eastAsia" w:ascii="宋体" w:hAnsi="宋体"/>
          <w:color w:val="auto"/>
          <w:sz w:val="22"/>
          <w:szCs w:val="22"/>
          <w:highlight w:val="none"/>
        </w:rPr>
        <w:t>1．  甲方</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按合同规定向乙方支付货款。</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（2） 组织对苗木的验收。</w:t>
      </w:r>
    </w:p>
    <w:p>
      <w:pPr>
        <w:spacing w:line="360" w:lineRule="auto"/>
        <w:ind w:firstLine="110" w:firstLineChars="50"/>
        <w:rPr>
          <w:rFonts w:ascii="宋体" w:hAnsi="宋体"/>
          <w:color w:val="auto"/>
          <w:sz w:val="22"/>
          <w:szCs w:val="22"/>
          <w:highlight w:val="none"/>
        </w:rPr>
      </w:pPr>
      <w:r>
        <w:rPr>
          <w:rFonts w:hint="eastAsia" w:ascii="宋体" w:hAnsi="宋体"/>
          <w:color w:val="auto"/>
          <w:sz w:val="22"/>
          <w:szCs w:val="22"/>
          <w:highlight w:val="none"/>
        </w:rPr>
        <w:t>2．  乙方</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（1） 按合同及采购文件规定的要求提供质量合格的苗木。</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（2） 对所提供的苗木的质量问题无条件负责处理，并进行维护。</w:t>
      </w:r>
    </w:p>
    <w:p>
      <w:pPr>
        <w:spacing w:line="360" w:lineRule="auto"/>
        <w:rPr>
          <w:rFonts w:ascii="宋体" w:hAnsi="宋体"/>
          <w:b/>
          <w:color w:val="auto"/>
          <w:sz w:val="22"/>
          <w:szCs w:val="22"/>
          <w:highlight w:val="none"/>
        </w:rPr>
      </w:pPr>
      <w:r>
        <w:rPr>
          <w:rFonts w:hint="eastAsia" w:ascii="宋体" w:hAnsi="宋体"/>
          <w:b/>
          <w:color w:val="auto"/>
          <w:sz w:val="22"/>
          <w:szCs w:val="22"/>
          <w:highlight w:val="none"/>
        </w:rPr>
        <w:t>十三、争端的解决</w:t>
      </w:r>
    </w:p>
    <w:p>
      <w:pPr>
        <w:spacing w:line="360" w:lineRule="auto"/>
        <w:ind w:left="538" w:leftChars="52" w:hanging="429" w:hangingChars="195"/>
        <w:rPr>
          <w:rFonts w:ascii="宋体" w:hAnsi="宋体"/>
          <w:color w:val="auto"/>
          <w:sz w:val="22"/>
          <w:szCs w:val="22"/>
          <w:highlight w:val="none"/>
        </w:rPr>
      </w:pPr>
      <w:r>
        <w:rPr>
          <w:rFonts w:hint="eastAsia" w:ascii="宋体" w:hAnsi="宋体"/>
          <w:color w:val="auto"/>
          <w:sz w:val="22"/>
          <w:szCs w:val="22"/>
          <w:highlight w:val="none"/>
        </w:rPr>
        <w:t>1． 合同实施或与合同有关的一切争端，甲乙双方应通过友好协商解决，如果协商仍得不到解决，任何一方可向甲方所在地的人民法院提起诉讼。</w:t>
      </w:r>
    </w:p>
    <w:p>
      <w:pPr>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十四、合同生效及其他</w:t>
      </w:r>
    </w:p>
    <w:p>
      <w:pPr>
        <w:spacing w:line="360" w:lineRule="auto"/>
        <w:ind w:left="559" w:leftChars="52" w:hanging="450" w:hangingChars="205"/>
        <w:rPr>
          <w:rFonts w:ascii="宋体" w:hAnsi="宋体"/>
          <w:color w:val="auto"/>
          <w:sz w:val="22"/>
          <w:szCs w:val="22"/>
          <w:highlight w:val="none"/>
        </w:rPr>
      </w:pPr>
      <w:r>
        <w:rPr>
          <w:rFonts w:hint="eastAsia" w:ascii="宋体" w:hAnsi="宋体"/>
          <w:color w:val="auto"/>
          <w:sz w:val="22"/>
          <w:szCs w:val="22"/>
          <w:highlight w:val="none"/>
        </w:rPr>
        <w:t>1． 合同在双方签字盖章后开始生效。合同共一式玖份，甲方执伍份，乙方</w:t>
      </w:r>
      <w:r>
        <w:rPr>
          <w:rFonts w:ascii="宋体" w:hAnsi="宋体"/>
          <w:color w:val="auto"/>
          <w:sz w:val="22"/>
          <w:szCs w:val="22"/>
          <w:highlight w:val="none"/>
        </w:rPr>
        <w:t>执叁</w:t>
      </w:r>
      <w:r>
        <w:rPr>
          <w:rFonts w:hint="eastAsia" w:ascii="宋体" w:hAnsi="宋体"/>
          <w:color w:val="auto"/>
          <w:sz w:val="22"/>
          <w:szCs w:val="22"/>
          <w:highlight w:val="none"/>
        </w:rPr>
        <w:t>份</w:t>
      </w:r>
      <w:r>
        <w:rPr>
          <w:rFonts w:ascii="宋体" w:hAnsi="宋体"/>
          <w:color w:val="auto"/>
          <w:sz w:val="22"/>
          <w:szCs w:val="22"/>
          <w:highlight w:val="none"/>
        </w:rPr>
        <w:t>，</w:t>
      </w:r>
      <w:r>
        <w:rPr>
          <w:rFonts w:hint="eastAsia" w:ascii="宋体" w:hAnsi="宋体"/>
          <w:color w:val="auto"/>
          <w:sz w:val="22"/>
          <w:szCs w:val="22"/>
          <w:highlight w:val="none"/>
        </w:rPr>
        <w:t>采购代理机构壹份，具有同等效力。</w:t>
      </w:r>
    </w:p>
    <w:p>
      <w:pPr>
        <w:spacing w:line="360" w:lineRule="auto"/>
        <w:ind w:left="526" w:leftChars="41" w:hanging="440" w:hangingChars="200"/>
        <w:rPr>
          <w:rFonts w:ascii="宋体" w:hAnsi="宋体"/>
          <w:color w:val="auto"/>
          <w:sz w:val="22"/>
          <w:szCs w:val="22"/>
          <w:highlight w:val="none"/>
        </w:rPr>
      </w:pPr>
      <w:r>
        <w:rPr>
          <w:rFonts w:hint="eastAsia" w:ascii="宋体" w:hAnsi="宋体"/>
          <w:color w:val="auto"/>
          <w:sz w:val="22"/>
          <w:szCs w:val="22"/>
          <w:highlight w:val="none"/>
        </w:rPr>
        <w:t>2． 如需修改或补充合同内容，经协商，双方应签署书面修改或补充协议，该协议将作为本合同的一个组成部分。</w:t>
      </w:r>
    </w:p>
    <w:p>
      <w:pPr>
        <w:spacing w:line="440" w:lineRule="exact"/>
        <w:jc w:val="center"/>
        <w:rPr>
          <w:rFonts w:ascii="新宋体" w:hAnsi="新宋体" w:eastAsia="新宋体" w:cs="新宋体"/>
          <w:b/>
          <w:color w:val="auto"/>
          <w:sz w:val="28"/>
          <w:szCs w:val="28"/>
          <w:highlight w:val="none"/>
        </w:rPr>
      </w:pPr>
    </w:p>
    <w:p>
      <w:pPr>
        <w:spacing w:line="360" w:lineRule="auto"/>
        <w:ind w:left="548" w:leftChars="104" w:hanging="330" w:hangingChars="150"/>
        <w:rPr>
          <w:rFonts w:ascii="宋体" w:hAnsi="宋体"/>
          <w:color w:val="auto"/>
          <w:sz w:val="22"/>
          <w:szCs w:val="22"/>
          <w:highlight w:val="none"/>
        </w:rPr>
      </w:pPr>
      <w:r>
        <w:rPr>
          <w:rFonts w:hint="eastAsia" w:ascii="宋体" w:hAnsi="宋体"/>
          <w:color w:val="auto"/>
          <w:sz w:val="22"/>
          <w:szCs w:val="22"/>
          <w:highlight w:val="none"/>
        </w:rPr>
        <w:t>甲方：                                  乙方：</w:t>
      </w:r>
    </w:p>
    <w:p>
      <w:pPr>
        <w:spacing w:line="360" w:lineRule="auto"/>
        <w:ind w:left="548" w:leftChars="104" w:hanging="330" w:hangingChars="150"/>
        <w:rPr>
          <w:rFonts w:ascii="宋体" w:hAnsi="宋体"/>
          <w:color w:val="auto"/>
          <w:sz w:val="22"/>
          <w:szCs w:val="22"/>
          <w:highlight w:val="none"/>
        </w:rPr>
      </w:pPr>
      <w:r>
        <w:rPr>
          <w:rFonts w:hint="eastAsia" w:ascii="宋体" w:hAnsi="宋体"/>
          <w:color w:val="auto"/>
          <w:sz w:val="22"/>
          <w:szCs w:val="22"/>
          <w:highlight w:val="none"/>
        </w:rPr>
        <w:t>代表人：                                代表人：</w:t>
      </w:r>
    </w:p>
    <w:p>
      <w:pPr>
        <w:spacing w:line="440" w:lineRule="exact"/>
        <w:rPr>
          <w:rFonts w:ascii="新宋体" w:hAnsi="新宋体" w:eastAsia="新宋体" w:cs="新宋体"/>
          <w:b/>
          <w:color w:val="auto"/>
          <w:sz w:val="28"/>
          <w:szCs w:val="28"/>
          <w:highlight w:val="none"/>
        </w:rPr>
      </w:pPr>
      <w:r>
        <w:rPr>
          <w:rFonts w:hint="eastAsia" w:ascii="宋体" w:hAnsi="宋体"/>
          <w:color w:val="auto"/>
          <w:sz w:val="22"/>
          <w:szCs w:val="22"/>
          <w:highlight w:val="none"/>
        </w:rPr>
        <w:t>日期：   年  月   日                    日期：   年  月  日</w:t>
      </w:r>
      <w:r>
        <w:rPr>
          <w:rFonts w:hint="eastAsia" w:ascii="宋体" w:hAnsi="宋体"/>
          <w:color w:val="auto"/>
          <w:szCs w:val="21"/>
          <w:highlight w:val="none"/>
        </w:rPr>
        <w:t xml:space="preserve">    </w:t>
      </w:r>
    </w:p>
    <w:p>
      <w:pPr>
        <w:spacing w:line="440" w:lineRule="exact"/>
        <w:jc w:val="center"/>
        <w:rPr>
          <w:rFonts w:ascii="新宋体" w:hAnsi="新宋体" w:eastAsia="新宋体" w:cs="新宋体"/>
          <w:b/>
          <w:color w:val="auto"/>
          <w:sz w:val="28"/>
          <w:szCs w:val="28"/>
          <w:highlight w:val="none"/>
        </w:rPr>
      </w:pPr>
    </w:p>
    <w:p>
      <w:pPr>
        <w:spacing w:line="440" w:lineRule="exact"/>
        <w:jc w:val="center"/>
        <w:rPr>
          <w:rFonts w:ascii="新宋体" w:hAnsi="新宋体" w:eastAsia="新宋体" w:cs="新宋体"/>
          <w:b/>
          <w:color w:val="auto"/>
          <w:sz w:val="28"/>
          <w:szCs w:val="28"/>
          <w:highlight w:val="none"/>
        </w:rPr>
      </w:pPr>
    </w:p>
    <w:p>
      <w:pPr>
        <w:spacing w:line="440" w:lineRule="exact"/>
        <w:jc w:val="center"/>
        <w:rPr>
          <w:rFonts w:ascii="新宋体" w:hAnsi="新宋体" w:eastAsia="新宋体" w:cs="新宋体"/>
          <w:b/>
          <w:color w:val="auto"/>
          <w:sz w:val="28"/>
          <w:szCs w:val="28"/>
          <w:highlight w:val="none"/>
        </w:rPr>
      </w:pPr>
    </w:p>
    <w:p>
      <w:pPr>
        <w:spacing w:line="440" w:lineRule="exact"/>
        <w:jc w:val="center"/>
        <w:rPr>
          <w:rFonts w:ascii="新宋体" w:hAnsi="新宋体" w:eastAsia="新宋体" w:cs="新宋体"/>
          <w:b/>
          <w:color w:val="auto"/>
          <w:sz w:val="28"/>
          <w:szCs w:val="28"/>
          <w:highlight w:val="none"/>
        </w:rPr>
      </w:pPr>
    </w:p>
    <w:p>
      <w:pPr>
        <w:spacing w:line="440" w:lineRule="exact"/>
        <w:jc w:val="center"/>
        <w:rPr>
          <w:rFonts w:ascii="新宋体" w:hAnsi="新宋体" w:eastAsia="新宋体" w:cs="新宋体"/>
          <w:b/>
          <w:color w:val="auto"/>
          <w:sz w:val="28"/>
          <w:szCs w:val="28"/>
          <w:highlight w:val="none"/>
        </w:rPr>
      </w:pPr>
    </w:p>
    <w:p>
      <w:pPr>
        <w:spacing w:line="440" w:lineRule="exact"/>
        <w:jc w:val="center"/>
        <w:rPr>
          <w:rFonts w:ascii="新宋体" w:hAnsi="新宋体" w:eastAsia="新宋体" w:cs="新宋体"/>
          <w:b/>
          <w:color w:val="auto"/>
          <w:sz w:val="28"/>
          <w:szCs w:val="28"/>
          <w:highlight w:val="none"/>
        </w:rPr>
      </w:pPr>
    </w:p>
    <w:p>
      <w:pPr>
        <w:snapToGrid w:val="0"/>
        <w:spacing w:line="360" w:lineRule="auto"/>
        <w:rPr>
          <w:rFonts w:ascii="新宋体" w:hAnsi="新宋体" w:eastAsia="新宋体" w:cs="新宋体"/>
          <w:bCs/>
          <w:color w:val="auto"/>
          <w:sz w:val="22"/>
          <w:szCs w:val="22"/>
          <w:highlight w:val="none"/>
        </w:rPr>
      </w:pPr>
      <w:bookmarkStart w:id="173" w:name="_Toc3799551"/>
      <w:bookmarkStart w:id="174" w:name="_Toc522645679"/>
      <w:r>
        <w:rPr>
          <w:rFonts w:hint="eastAsia" w:ascii="新宋体" w:hAnsi="新宋体" w:eastAsia="新宋体" w:cs="新宋体"/>
          <w:color w:val="auto"/>
          <w:sz w:val="36"/>
          <w:szCs w:val="36"/>
          <w:highlight w:val="none"/>
        </w:rPr>
        <w:br w:type="page"/>
      </w:r>
    </w:p>
    <w:p>
      <w:pPr>
        <w:pStyle w:val="4"/>
        <w:overflowPunct w:val="0"/>
        <w:rPr>
          <w:rFonts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t xml:space="preserve">第三部分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Start w:id="175" w:name="_Toc221374631"/>
      <w:bookmarkStart w:id="176" w:name="_Toc245722286"/>
      <w:bookmarkStart w:id="177" w:name="_Toc251592742"/>
      <w:bookmarkStart w:id="178" w:name="_Toc221356892"/>
      <w:bookmarkStart w:id="179" w:name="_Toc221356956"/>
      <w:bookmarkStart w:id="180" w:name="_Toc245191319"/>
      <w:bookmarkStart w:id="181" w:name="_Toc239145359"/>
      <w:bookmarkStart w:id="182" w:name="_Toc223716003"/>
      <w:bookmarkStart w:id="183" w:name="_Toc241404207"/>
      <w:bookmarkStart w:id="184" w:name="_Toc221423624"/>
      <w:bookmarkStart w:id="185" w:name="_Toc252194857"/>
      <w:bookmarkStart w:id="186" w:name="_Toc251325219"/>
      <w:bookmarkStart w:id="187" w:name="_Toc222114884"/>
      <w:bookmarkStart w:id="188" w:name="_Toc246261270"/>
      <w:r>
        <w:rPr>
          <w:rFonts w:hint="eastAsia" w:ascii="新宋体" w:hAnsi="新宋体" w:eastAsia="新宋体" w:cs="新宋体"/>
          <w:color w:val="auto"/>
          <w:sz w:val="36"/>
          <w:szCs w:val="36"/>
          <w:highlight w:val="none"/>
        </w:rPr>
        <w:t>附件</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overflowPunct w:val="0"/>
        <w:spacing w:before="100" w:beforeAutospacing="1" w:after="100" w:afterAutospacing="1" w:line="440" w:lineRule="exact"/>
        <w:jc w:val="left"/>
        <w:outlineLvl w:val="0"/>
        <w:rPr>
          <w:rFonts w:ascii="新宋体" w:hAnsi="新宋体" w:eastAsia="新宋体" w:cs="新宋体"/>
          <w:b/>
          <w:bCs/>
          <w:color w:val="auto"/>
          <w:sz w:val="22"/>
          <w:szCs w:val="22"/>
          <w:highlight w:val="none"/>
        </w:rPr>
      </w:pPr>
      <w:bookmarkStart w:id="189" w:name="_Toc32608"/>
      <w:bookmarkStart w:id="190" w:name="_Toc432495859"/>
      <w:bookmarkStart w:id="191" w:name="_Toc3799552"/>
      <w:bookmarkStart w:id="192" w:name="_Toc8138"/>
      <w:bookmarkStart w:id="193" w:name="_Toc518895410"/>
      <w:bookmarkStart w:id="194" w:name="_Toc432495801"/>
      <w:bookmarkStart w:id="195" w:name="_Toc522645680"/>
      <w:bookmarkStart w:id="196" w:name="_Toc252194859"/>
      <w:bookmarkStart w:id="197" w:name="_Toc251592744"/>
      <w:r>
        <w:rPr>
          <w:rFonts w:hint="eastAsia" w:ascii="新宋体" w:hAnsi="新宋体" w:eastAsia="新宋体" w:cs="新宋体"/>
          <w:b/>
          <w:bCs/>
          <w:color w:val="auto"/>
          <w:sz w:val="22"/>
          <w:szCs w:val="22"/>
          <w:highlight w:val="none"/>
        </w:rPr>
        <w:t>附件一  投标函</w:t>
      </w:r>
      <w:bookmarkEnd w:id="189"/>
      <w:bookmarkEnd w:id="190"/>
      <w:bookmarkEnd w:id="191"/>
      <w:bookmarkEnd w:id="192"/>
      <w:bookmarkEnd w:id="193"/>
      <w:bookmarkEnd w:id="194"/>
      <w:bookmarkEnd w:id="195"/>
    </w:p>
    <w:p>
      <w:pPr>
        <w:spacing w:line="40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 标 函</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温州市名城资产营运有限公司：</w:t>
      </w:r>
    </w:p>
    <w:p>
      <w:pPr>
        <w:spacing w:line="40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根据贵方项目（编号：）的投标邀请，我方</w:t>
      </w:r>
      <w:r>
        <w:rPr>
          <w:rFonts w:hint="eastAsia" w:ascii="新宋体" w:hAnsi="新宋体" w:eastAsia="新宋体" w:cs="新宋体"/>
          <w:color w:val="auto"/>
          <w:sz w:val="22"/>
          <w:szCs w:val="22"/>
          <w:highlight w:val="none"/>
          <w:u w:val="single"/>
        </w:rPr>
        <w:t>（投标人名称）</w:t>
      </w:r>
      <w:r>
        <w:rPr>
          <w:rFonts w:hint="eastAsia" w:ascii="新宋体" w:hAnsi="新宋体" w:eastAsia="新宋体" w:cs="新宋体"/>
          <w:color w:val="auto"/>
          <w:sz w:val="22"/>
          <w:szCs w:val="22"/>
          <w:highlight w:val="none"/>
        </w:rPr>
        <w:t>作为投标人正式授权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（授权代表全名，职务）代表我方处理有关本投标的一切事宜。</w:t>
      </w:r>
    </w:p>
    <w:p>
      <w:pPr>
        <w:pStyle w:val="6"/>
        <w:spacing w:line="400" w:lineRule="exact"/>
        <w:ind w:firstLine="44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在此提交的投标文件中，包括如下内容，并已分别单独密封装袋：</w:t>
      </w:r>
    </w:p>
    <w:p>
      <w:pPr>
        <w:pStyle w:val="13"/>
        <w:adjustRightInd w:val="0"/>
        <w:snapToGrid w:val="0"/>
        <w:spacing w:after="0" w:line="40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（—）按“投标人须知”要求编制的</w:t>
      </w:r>
      <w:r>
        <w:rPr>
          <w:rFonts w:hint="eastAsia" w:ascii="新宋体" w:hAnsi="新宋体" w:eastAsia="新宋体" w:cs="新宋体"/>
          <w:color w:val="auto"/>
          <w:kern w:val="0"/>
          <w:sz w:val="22"/>
          <w:szCs w:val="22"/>
          <w:highlight w:val="none"/>
        </w:rPr>
        <w:t>投标文件</w:t>
      </w:r>
      <w:r>
        <w:rPr>
          <w:rFonts w:hint="eastAsia" w:ascii="新宋体" w:hAnsi="新宋体" w:eastAsia="新宋体" w:cs="新宋体"/>
          <w:color w:val="auto"/>
          <w:sz w:val="22"/>
          <w:szCs w:val="22"/>
          <w:highlight w:val="none"/>
        </w:rPr>
        <w:t>技术资信标；</w:t>
      </w:r>
    </w:p>
    <w:p>
      <w:pPr>
        <w:spacing w:line="400" w:lineRule="exact"/>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（二）按“投标人须知”要求编制的投标文件商务（报价）标。</w:t>
      </w:r>
    </w:p>
    <w:p>
      <w:pPr>
        <w:spacing w:line="40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我方己完全明白采购文件的所有条款要求，并重申以下几点：</w:t>
      </w:r>
    </w:p>
    <w:p>
      <w:pPr>
        <w:spacing w:line="400" w:lineRule="exact"/>
        <w:ind w:left="1019" w:leftChars="171"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（一）本投标文件的有效期自投标截止日起</w:t>
      </w:r>
      <w:r>
        <w:rPr>
          <w:rFonts w:hint="eastAsia" w:ascii="新宋体" w:hAnsi="新宋体" w:eastAsia="新宋体" w:cs="新宋体"/>
          <w:b/>
          <w:color w:val="auto"/>
          <w:sz w:val="22"/>
          <w:szCs w:val="22"/>
          <w:highlight w:val="none"/>
          <w:u w:val="single"/>
        </w:rPr>
        <w:t>90</w:t>
      </w:r>
      <w:r>
        <w:rPr>
          <w:rFonts w:hint="eastAsia" w:ascii="新宋体" w:hAnsi="新宋体" w:eastAsia="新宋体" w:cs="新宋体"/>
          <w:color w:val="auto"/>
          <w:sz w:val="22"/>
          <w:szCs w:val="22"/>
          <w:highlight w:val="none"/>
        </w:rPr>
        <w:t>天内有效，如中标，有效期将延至合同终止日为止；</w:t>
      </w:r>
    </w:p>
    <w:p>
      <w:pPr>
        <w:spacing w:line="400" w:lineRule="exact"/>
        <w:ind w:left="1019" w:leftChars="171"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（二）我方已详细研究了采购文件的所有内容包括修改书（如有）和所有已提供的参考资料以及有关附件，我方完全理解并同意放弃在此方面提出含糊意见或误解的一切权力；</w:t>
      </w:r>
    </w:p>
    <w:p>
      <w:pPr>
        <w:spacing w:line="400" w:lineRule="exact"/>
        <w:ind w:left="1019" w:leftChars="171"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（三）我方明白并愿意在规定的开标时间之后，我方在投标有效期内撤回投标，其投标保证金贵方可不予退还；</w:t>
      </w:r>
    </w:p>
    <w:p>
      <w:pPr>
        <w:spacing w:line="400" w:lineRule="exact"/>
        <w:ind w:left="359" w:leftChars="17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（四）我方同意提供按照贵方可能要求的与投标有关的一切数据或资料；</w:t>
      </w:r>
    </w:p>
    <w:p>
      <w:pPr>
        <w:spacing w:line="400" w:lineRule="exact"/>
        <w:ind w:left="359" w:leftChars="171"/>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（五）我方理解贵方不一定接受最低报价。</w:t>
      </w:r>
    </w:p>
    <w:p>
      <w:pPr>
        <w:spacing w:line="400" w:lineRule="exact"/>
        <w:ind w:left="1019" w:leftChars="171"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（六）我方如果中标，将保证履行采购文件以及采购文件修改书（如有）中的全部责任和义务，按质、按量、按期完成合同文件中的全部任务。</w:t>
      </w:r>
    </w:p>
    <w:p>
      <w:pPr>
        <w:spacing w:line="400" w:lineRule="exact"/>
        <w:ind w:left="31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（七）所有与本投标有关的函件请发往下列地址：</w:t>
      </w:r>
    </w:p>
    <w:p>
      <w:pPr>
        <w:spacing w:line="40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p>
    <w:p>
      <w:pPr>
        <w:spacing w:line="400" w:lineRule="exact"/>
        <w:ind w:firstLine="770" w:firstLineChars="350"/>
        <w:rPr>
          <w:rFonts w:ascii="新宋体" w:hAnsi="新宋体" w:eastAsia="新宋体" w:cs="新宋体"/>
          <w:color w:val="auto"/>
          <w:sz w:val="22"/>
          <w:szCs w:val="22"/>
          <w:highlight w:val="none"/>
          <w:u w:val="single"/>
        </w:rPr>
      </w:pPr>
    </w:p>
    <w:p>
      <w:pPr>
        <w:pStyle w:val="18"/>
        <w:spacing w:line="400" w:lineRule="atLeast"/>
        <w:rPr>
          <w:rFonts w:ascii="新宋体" w:hAnsi="新宋体" w:eastAsia="新宋体" w:cs="新宋体"/>
          <w:color w:val="auto"/>
          <w:sz w:val="22"/>
          <w:highlight w:val="none"/>
        </w:rPr>
      </w:pPr>
      <w:bookmarkStart w:id="198" w:name="_Toc301515477"/>
      <w:bookmarkStart w:id="199" w:name="_Toc518895411"/>
      <w:bookmarkStart w:id="200" w:name="_Toc6014"/>
      <w:bookmarkStart w:id="201" w:name="_Toc301515374"/>
      <w:bookmarkStart w:id="202" w:name="_Toc10775"/>
      <w:bookmarkStart w:id="203" w:name="_Toc432495802"/>
      <w:bookmarkStart w:id="204" w:name="_Toc432495860"/>
      <w:r>
        <w:rPr>
          <w:rFonts w:hint="eastAsia" w:ascii="新宋体" w:hAnsi="新宋体" w:eastAsia="新宋体" w:cs="新宋体"/>
          <w:color w:val="auto"/>
          <w:sz w:val="22"/>
          <w:highlight w:val="none"/>
        </w:rPr>
        <w:t>投标人名称（盖章）：</w:t>
      </w:r>
    </w:p>
    <w:p>
      <w:pPr>
        <w:pStyle w:val="18"/>
        <w:spacing w:line="400" w:lineRule="atLeast"/>
        <w:ind w:left="660" w:hanging="660" w:hangingChars="30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投标人法定代表人（法定负责人）或授权代表</w:t>
      </w:r>
      <w:r>
        <w:rPr>
          <w:rFonts w:hint="eastAsia" w:ascii="新宋体" w:hAnsi="新宋体" w:eastAsia="新宋体" w:cs="新宋体"/>
          <w:color w:val="auto"/>
          <w:sz w:val="22"/>
          <w:highlight w:val="none"/>
        </w:rPr>
        <w:t>（签字或盖章）：</w:t>
      </w:r>
    </w:p>
    <w:p>
      <w:pPr>
        <w:spacing w:line="50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500" w:lineRule="exact"/>
        <w:rPr>
          <w:rFonts w:ascii="新宋体" w:hAnsi="新宋体" w:eastAsia="新宋体" w:cs="新宋体"/>
          <w:color w:val="auto"/>
          <w:sz w:val="22"/>
          <w:szCs w:val="22"/>
          <w:highlight w:val="none"/>
        </w:rPr>
      </w:pPr>
    </w:p>
    <w:p>
      <w:pPr>
        <w:overflowPunct w:val="0"/>
        <w:spacing w:before="100" w:beforeAutospacing="1" w:after="100" w:afterAutospacing="1" w:line="440" w:lineRule="exact"/>
        <w:jc w:val="left"/>
        <w:outlineLvl w:val="0"/>
        <w:rPr>
          <w:rFonts w:ascii="新宋体" w:hAnsi="新宋体" w:eastAsia="新宋体" w:cs="新宋体"/>
          <w:b/>
          <w:bCs/>
          <w:color w:val="auto"/>
          <w:sz w:val="22"/>
          <w:szCs w:val="22"/>
          <w:highlight w:val="none"/>
        </w:rPr>
      </w:pPr>
      <w:bookmarkStart w:id="205" w:name="_Toc522645681"/>
    </w:p>
    <w:p>
      <w:pPr>
        <w:widowControl/>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overflowPunct w:val="0"/>
        <w:spacing w:before="100" w:beforeAutospacing="1" w:after="100" w:afterAutospacing="1" w:line="440" w:lineRule="exact"/>
        <w:jc w:val="left"/>
        <w:outlineLvl w:val="0"/>
        <w:rPr>
          <w:rFonts w:ascii="新宋体" w:hAnsi="新宋体" w:eastAsia="新宋体" w:cs="新宋体"/>
          <w:b/>
          <w:bCs/>
          <w:color w:val="auto"/>
          <w:sz w:val="22"/>
          <w:szCs w:val="22"/>
          <w:highlight w:val="none"/>
        </w:rPr>
      </w:pPr>
      <w:bookmarkStart w:id="206" w:name="_Toc3799553"/>
      <w:r>
        <w:rPr>
          <w:rFonts w:hint="eastAsia" w:ascii="新宋体" w:hAnsi="新宋体" w:eastAsia="新宋体" w:cs="新宋体"/>
          <w:b/>
          <w:bCs/>
          <w:color w:val="auto"/>
          <w:sz w:val="22"/>
          <w:szCs w:val="22"/>
          <w:highlight w:val="none"/>
        </w:rPr>
        <w:t>附件二-1  报价一览表</w:t>
      </w:r>
      <w:bookmarkEnd w:id="198"/>
      <w:bookmarkEnd w:id="199"/>
      <w:bookmarkEnd w:id="200"/>
      <w:bookmarkEnd w:id="201"/>
      <w:bookmarkEnd w:id="202"/>
      <w:bookmarkEnd w:id="203"/>
      <w:bookmarkEnd w:id="204"/>
      <w:bookmarkEnd w:id="205"/>
      <w:bookmarkEnd w:id="206"/>
    </w:p>
    <w:p>
      <w:pPr>
        <w:spacing w:line="560" w:lineRule="exact"/>
        <w:jc w:val="center"/>
        <w:rPr>
          <w:rFonts w:ascii="新宋体" w:hAnsi="新宋体" w:eastAsia="新宋体" w:cs="新宋体"/>
          <w:b/>
          <w:color w:val="auto"/>
          <w:sz w:val="36"/>
          <w:highlight w:val="none"/>
        </w:rPr>
      </w:pPr>
      <w:r>
        <w:rPr>
          <w:rFonts w:hint="eastAsia" w:ascii="新宋体" w:hAnsi="新宋体" w:eastAsia="新宋体" w:cs="新宋体"/>
          <w:b/>
          <w:color w:val="auto"/>
          <w:sz w:val="36"/>
          <w:highlight w:val="none"/>
        </w:rPr>
        <w:t>报价一览表</w:t>
      </w:r>
    </w:p>
    <w:p>
      <w:pPr>
        <w:pStyle w:val="2"/>
        <w:ind w:firstLine="480"/>
        <w:rPr>
          <w:color w:val="auto"/>
          <w:highlight w:val="none"/>
        </w:rPr>
      </w:pPr>
    </w:p>
    <w:p>
      <w:pPr>
        <w:spacing w:line="460" w:lineRule="exact"/>
        <w:rPr>
          <w:rFonts w:ascii="新宋体" w:hAnsi="新宋体" w:eastAsia="新宋体" w:cs="新宋体"/>
          <w:b/>
          <w:color w:val="auto"/>
          <w:sz w:val="24"/>
          <w:highlight w:val="none"/>
        </w:rPr>
      </w:pPr>
      <w:bookmarkStart w:id="207" w:name="_Hlk3389282"/>
      <w:r>
        <w:rPr>
          <w:rFonts w:hint="eastAsia" w:ascii="新宋体" w:hAnsi="新宋体" w:eastAsia="新宋体" w:cs="新宋体"/>
          <w:b/>
          <w:color w:val="auto"/>
          <w:sz w:val="24"/>
          <w:highlight w:val="none"/>
        </w:rPr>
        <w:t>项目名称：                           项目编号：          （价格单位：元人民币）</w:t>
      </w:r>
    </w:p>
    <w:tbl>
      <w:tblPr>
        <w:tblStyle w:val="30"/>
        <w:tblW w:w="94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19"/>
        <w:gridCol w:w="6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219" w:type="dxa"/>
            <w:tcBorders>
              <w:top w:val="single" w:color="auto" w:sz="12" w:space="0"/>
              <w:left w:val="single" w:color="auto" w:sz="12" w:space="0"/>
              <w:bottom w:val="single" w:color="auto" w:sz="4" w:space="0"/>
              <w:right w:val="single" w:color="auto" w:sz="4" w:space="0"/>
            </w:tcBorders>
            <w:vAlign w:val="center"/>
          </w:tcPr>
          <w:p>
            <w:pPr>
              <w:spacing w:line="360" w:lineRule="auto"/>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投标项目</w:t>
            </w:r>
          </w:p>
        </w:tc>
        <w:tc>
          <w:tcPr>
            <w:tcW w:w="6208" w:type="dxa"/>
            <w:tcBorders>
              <w:top w:val="single" w:color="auto" w:sz="12" w:space="0"/>
              <w:left w:val="single" w:color="auto" w:sz="4" w:space="0"/>
              <w:bottom w:val="single" w:color="auto" w:sz="4" w:space="0"/>
              <w:right w:val="single" w:color="auto" w:sz="12" w:space="0"/>
            </w:tcBorders>
            <w:vAlign w:val="center"/>
          </w:tcPr>
          <w:p>
            <w:pPr>
              <w:spacing w:line="360" w:lineRule="auto"/>
              <w:ind w:right="-21" w:rightChars="-1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3219" w:type="dxa"/>
            <w:tcBorders>
              <w:top w:val="single" w:color="auto" w:sz="4" w:space="0"/>
              <w:left w:val="single" w:color="auto" w:sz="12" w:space="0"/>
              <w:right w:val="single" w:color="auto" w:sz="4" w:space="0"/>
            </w:tcBorders>
            <w:vAlign w:val="center"/>
          </w:tcPr>
          <w:p>
            <w:pPr>
              <w:spacing w:line="360" w:lineRule="auto"/>
              <w:ind w:right="-21" w:rightChars="-1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印象南塘景区花卉苗木（第二次）</w:t>
            </w:r>
          </w:p>
        </w:tc>
        <w:tc>
          <w:tcPr>
            <w:tcW w:w="6208" w:type="dxa"/>
            <w:tcBorders>
              <w:top w:val="single" w:color="auto" w:sz="4" w:space="0"/>
              <w:left w:val="single" w:color="auto" w:sz="4" w:space="0"/>
              <w:right w:val="single" w:color="auto" w:sz="12" w:space="0"/>
            </w:tcBorders>
            <w:vAlign w:val="center"/>
          </w:tcPr>
          <w:p>
            <w:pPr>
              <w:spacing w:line="360" w:lineRule="auto"/>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（小写）：¥</w:t>
            </w:r>
          </w:p>
          <w:p>
            <w:pPr>
              <w:spacing w:line="360" w:lineRule="auto"/>
              <w:ind w:right="-21" w:rightChars="-1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（大写）：</w:t>
            </w:r>
          </w:p>
        </w:tc>
      </w:tr>
    </w:tbl>
    <w:p>
      <w:pPr>
        <w:spacing w:line="360" w:lineRule="auto"/>
        <w:rPr>
          <w:rFonts w:ascii="新宋体" w:hAnsi="新宋体" w:eastAsia="新宋体" w:cs="新宋体"/>
          <w:color w:val="auto"/>
          <w:sz w:val="22"/>
          <w:szCs w:val="22"/>
          <w:highlight w:val="none"/>
        </w:rPr>
      </w:pP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r>
        <w:rPr>
          <w:rFonts w:hint="eastAsia" w:ascii="新宋体" w:hAnsi="新宋体" w:eastAsia="新宋体" w:cs="新宋体"/>
          <w:b/>
          <w:bCs/>
          <w:color w:val="auto"/>
          <w:sz w:val="22"/>
          <w:szCs w:val="22"/>
          <w:highlight w:val="none"/>
        </w:rPr>
        <w:t>1、</w:t>
      </w:r>
      <w:r>
        <w:rPr>
          <w:rFonts w:hint="eastAsia" w:ascii="新宋体" w:hAnsi="新宋体" w:eastAsia="新宋体" w:cs="新宋体"/>
          <w:b/>
          <w:color w:val="auto"/>
          <w:sz w:val="22"/>
          <w:szCs w:val="22"/>
          <w:highlight w:val="none"/>
          <w:u w:val="single"/>
        </w:rPr>
        <w:t>▲此栏内投标报价应与附件二-2“投标分项报价表”中合计报价相一致。</w:t>
      </w:r>
    </w:p>
    <w:p>
      <w:pPr>
        <w:spacing w:line="360" w:lineRule="auto"/>
        <w:ind w:firstLine="663" w:firstLineChars="300"/>
        <w:rPr>
          <w:rFonts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
          <w:color w:val="auto"/>
          <w:sz w:val="22"/>
          <w:szCs w:val="22"/>
          <w:highlight w:val="none"/>
          <w:u w:val="single"/>
        </w:rPr>
        <w:t>▲不提供本表将视为没有实质性响应采购文件要求。</w:t>
      </w:r>
    </w:p>
    <w:p>
      <w:pPr>
        <w:spacing w:line="360" w:lineRule="auto"/>
        <w:rPr>
          <w:rFonts w:ascii="新宋体" w:hAnsi="新宋体" w:eastAsia="新宋体" w:cs="新宋体"/>
          <w:color w:val="auto"/>
          <w:sz w:val="22"/>
          <w:szCs w:val="22"/>
          <w:highlight w:val="none"/>
        </w:rPr>
      </w:pPr>
    </w:p>
    <w:p>
      <w:pPr>
        <w:pStyle w:val="18"/>
        <w:spacing w:line="360" w:lineRule="auto"/>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投标人名称（盖章）：</w:t>
      </w:r>
    </w:p>
    <w:p>
      <w:pPr>
        <w:pStyle w:val="18"/>
        <w:spacing w:line="360" w:lineRule="auto"/>
        <w:ind w:left="660" w:hanging="660" w:hangingChars="30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投标人法定代表人（法定负责人）或授权代表</w:t>
      </w:r>
      <w:r>
        <w:rPr>
          <w:rFonts w:hint="eastAsia" w:ascii="新宋体" w:hAnsi="新宋体" w:eastAsia="新宋体" w:cs="新宋体"/>
          <w:color w:val="auto"/>
          <w:sz w:val="22"/>
          <w:highlight w:val="none"/>
        </w:rPr>
        <w:t>（签字或盖章）：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overflowPunct w:val="0"/>
        <w:spacing w:before="100" w:beforeAutospacing="1" w:after="100" w:afterAutospacing="1"/>
        <w:jc w:val="left"/>
        <w:outlineLvl w:val="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附件二-2 投标分项报价表</w:t>
      </w:r>
    </w:p>
    <w:p>
      <w:pPr>
        <w:overflowPunct w:val="0"/>
        <w:spacing w:before="100" w:beforeAutospacing="1" w:after="100" w:afterAutospacing="1"/>
        <w:ind w:firstLine="3614" w:firstLineChars="1200"/>
        <w:jc w:val="left"/>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投标分项报价表</w:t>
      </w:r>
    </w:p>
    <w:p>
      <w:pPr>
        <w:rPr>
          <w:rFonts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 xml:space="preserve">项目名称：                              项目编号：           </w:t>
      </w:r>
      <w:r>
        <w:rPr>
          <w:rFonts w:hint="eastAsia" w:ascii="新宋体" w:hAnsi="新宋体" w:eastAsia="新宋体" w:cs="新宋体"/>
          <w:b/>
          <w:color w:val="auto"/>
          <w:sz w:val="24"/>
          <w:highlight w:val="none"/>
        </w:rPr>
        <w:t>（价格单位：元,人民币）</w:t>
      </w:r>
    </w:p>
    <w:tbl>
      <w:tblPr>
        <w:tblStyle w:val="30"/>
        <w:tblW w:w="9844" w:type="dxa"/>
        <w:tblInd w:w="-5" w:type="dxa"/>
        <w:tblLayout w:type="fixed"/>
        <w:tblCellMar>
          <w:top w:w="0" w:type="dxa"/>
          <w:left w:w="108" w:type="dxa"/>
          <w:bottom w:w="0" w:type="dxa"/>
          <w:right w:w="108" w:type="dxa"/>
        </w:tblCellMar>
      </w:tblPr>
      <w:tblGrid>
        <w:gridCol w:w="709"/>
        <w:gridCol w:w="1948"/>
        <w:gridCol w:w="2087"/>
        <w:gridCol w:w="1825"/>
        <w:gridCol w:w="1788"/>
        <w:gridCol w:w="1487"/>
      </w:tblGrid>
      <w:tr>
        <w:tblPrEx>
          <w:tblCellMar>
            <w:top w:w="0" w:type="dxa"/>
            <w:left w:w="108" w:type="dxa"/>
            <w:bottom w:w="0" w:type="dxa"/>
            <w:right w:w="108" w:type="dxa"/>
          </w:tblCellMar>
        </w:tblPrEx>
        <w:trPr>
          <w:trHeight w:val="45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项目内容</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规格</w:t>
            </w:r>
          </w:p>
        </w:tc>
        <w:tc>
          <w:tcPr>
            <w:tcW w:w="1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综合单价最高限价(元)</w:t>
            </w:r>
          </w:p>
        </w:tc>
        <w:tc>
          <w:tcPr>
            <w:tcW w:w="17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所投综合单价(元)</w:t>
            </w:r>
          </w:p>
        </w:tc>
        <w:tc>
          <w:tcPr>
            <w:tcW w:w="1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备注</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石蒜（种球）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5.07</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矮牵牛</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雏菊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鸡冠花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角堇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孔雀草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千日红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三色堇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四季秋海棠</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太阳花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洋凤仙</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一串红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羽衣甘蓝</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八角金盘</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紫罗兰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上海角堇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报春花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140.83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美丽月见草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欧石竹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火炬花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鼠尾草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水果兰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随意草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金鱼草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松红梅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金盏菊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紫娇花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金雀花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欧石竹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金叶六道木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郁金香（种球）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大滨菊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鸢尾</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德国鸢尾</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金边吊兰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三角梅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风信子（种球）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6.07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花叶美人蕉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金叶石菖蒲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睡莲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荷花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水仙花（种球）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五色梅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细叶针茅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红王子锦带</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吴风草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绵毛水苏</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雪茄花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非洲万寿菊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大花金鸡菊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4.98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藤本矮牵牛</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香彩雀</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一叶兰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矮蒲苇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风信子（成品）</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瓜叶菊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花叶芒</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花叶良姜</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万紫千红球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260</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白毛鹃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水仙花（成品）</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绿色光辉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16.03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春之舞</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荷兰菊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姬小菊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岭南杜鹃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粉面含春</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蓝雪花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马齿笕</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南希玛丽</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玛格丽特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4.55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西码</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辉煌</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红双喜</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山菅兰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小丽花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11.48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小五星</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五彩夏鹃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薰衣草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世纪曙光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朱顶红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吊兰牵牛</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白常春</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比利时杜鹃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昆仑玉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天竺葵</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44.2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金叶假连翘</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7.58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羊踯躅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美女樱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龟甲冬青</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70*70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五色梅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毛鹃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五星花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花叶络石</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落新妇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鹅掌柴</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清香木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翠芦莉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肾蕨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石蒜</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洋凤仙</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金边阔叶麦冬</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长春花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银纹沿阶草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栀子花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花叶大吴风草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绒叶肖竹芋</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大花翠芦莉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天门冬</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花叶艳山姜</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甜心玉簪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花叶蒲苇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郁金香（成品）</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厚皮香</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花叶鸭掌木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红背桂</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金山绣线菊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金叶胡颓子球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342.33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龙船花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水果兰球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184.17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春羽</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19.07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五彩石竹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巴西野牡丹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巴西野牡丹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紫叶狼尾草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金叶苔草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每丛8个芽以上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广东牡丹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蓝羊茅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每丛8个芽以上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吉利红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穗花牡荆</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花叶锦带</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金叶矾根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千年木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百子莲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桑托斯马鞭草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澳洲朱焦</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初霜玉簪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变叶木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20.37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蓝色鼠耳玉簪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八宝景天</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芒草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萼距花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仙客来</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多花筋骨草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黄金络石</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小叶蚊母</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绣球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春芋</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小木槿</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大叶栀子球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108.33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红叶朱蕉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红叶石楠球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无尽夏</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含笑球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149.5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火焰狼尾草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粉黛乱子草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香水月季</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红绿草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128株/穴盘</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穴盘</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美国凌霄</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D6</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绿萝</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花叶蒲苇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75*60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火焰卫矛球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蔓花生</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天堂鸟</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紫叶酢酱草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5.42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铁线莲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羽绒狼尾草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贵族玉簪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蓝色天使玉簪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金关锦玉簪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自由玉簪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蓝梦狼尾草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日本大花花菖蒲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路易斯安娜</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花叶菖蒲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三七景天</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络石藤</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阔叶麦冬</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矾根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粉花绣线菊</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H30P30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16.03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吊竹梅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棣棠</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墨西哥鼠尾草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千叶兰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H10P25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大花六道木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H20P30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冬青球棒棒糖</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320.67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金冠女贞球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美植袋50*40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彩叶杞柳</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H80P40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75.83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澳洲狐尾</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H30P20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夏鹃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5加仑</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184.17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东洋杜鹃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H0.9m</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川滇蜡树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CLT30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923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安酷杜鹃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3加仑</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892.67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郁香忍冬</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H100P60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225.33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彩叶杞柳棒棒糖</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364</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青枫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D6cm</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H70P50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造型杜鹃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P150，h50-60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346.67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造型红花檵木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P180 H150-200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457.17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假连翘</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兔尾草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蜘蛛兰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球茎10cm</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熊猫堇</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粉花溲疏</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多花素馨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木槿（蓝莓冰沙）</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木槿（薰衣草雪纺）</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木槿（粉色雪纺）</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木槿（日之丸）</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姬十二筋骨草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小蜡球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150*150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小蜡球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145.17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小叶栀子</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美人梅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1031.33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芫花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福禄紫枫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h300cm</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1971.67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金钰枫香</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h300cm</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红羽毛枫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束花茶花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693.33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红千层</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520</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忽地笑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换锦花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露丝金露</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圆锥绣球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32.93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小兔子狼尾草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毛冠草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金冠女贞球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153.83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完美冬青球塔型</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H150P45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728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冬青先令球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801.67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柳叶马鞭草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H45P30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金叶莸</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H35P30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溪荪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H45P30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玉簪</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H20P25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银姬小蜡球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亮晶女贞棒棒糖</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 150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金姬水蜡球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松红梅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H80P50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90.13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木槿棒棒糖</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H120P40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390</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梅花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D8</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381.33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蝴蝶</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地径（cm):3-4高度（cm):160-180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金贵</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地径（cm):9-10高度（cm):250以上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金贵</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地径（cm):12-13高度（cm):250以上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2990</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橙之梦</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地径（cm):2-3高度（cm):80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290.33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橙之梦</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地径（cm):3-4高度（cm):80-100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1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茶梅</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7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红花檵木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41.17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0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红花檵木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7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火焰南天竹</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9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绯红皇后羽毛枫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地径（cm):7-8高度（cm):200-250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3328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吉祥草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2.82</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地径（cm):6-7高度（cm):150-200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千染</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地径（cm):10高度（cm):300-350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4203.33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兰花三七</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血红</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地径（cm):6-7高度（cm):200-250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2296.67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马尼拉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19.07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金边黄杨</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地径（cm):4-5高度（cm):200-250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229.67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地径（cm):6-7高度（cm):200-250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472.33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地径（cm):10-11高度（cm):250-300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274</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凤凰</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地径（cm):5-6高度（cm):250-300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472.33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275</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珊瑚树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276</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珊瑚树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H180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277</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书带草</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278</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小丑火棘</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35.53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279</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D15</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280</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D18</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3033.33</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281</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D22</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4030</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282</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紫叶小檗</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283</w:t>
            </w:r>
          </w:p>
        </w:tc>
        <w:tc>
          <w:tcPr>
            <w:tcW w:w="194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千层金</w:t>
            </w:r>
          </w:p>
        </w:tc>
        <w:tc>
          <w:tcPr>
            <w:tcW w:w="20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1825"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788" w:type="dxa"/>
            <w:tcBorders>
              <w:top w:val="nil"/>
              <w:left w:val="nil"/>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千层金</w:t>
            </w:r>
          </w:p>
        </w:tc>
        <w:tc>
          <w:tcPr>
            <w:tcW w:w="2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160*100</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281.67</w:t>
            </w:r>
          </w:p>
        </w:tc>
        <w:tc>
          <w:tcPr>
            <w:tcW w:w="17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65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合计报价：</w:t>
            </w:r>
          </w:p>
        </w:tc>
        <w:tc>
          <w:tcPr>
            <w:tcW w:w="3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p>
        </w:tc>
      </w:tr>
    </w:tbl>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说明：1、</w:t>
      </w:r>
      <w:r>
        <w:rPr>
          <w:rFonts w:hint="eastAsia" w:ascii="新宋体" w:hAnsi="新宋体" w:eastAsia="新宋体" w:cs="新宋体"/>
          <w:color w:val="auto"/>
          <w:sz w:val="22"/>
          <w:szCs w:val="22"/>
          <w:highlight w:val="none"/>
          <w:u w:val="single"/>
        </w:rPr>
        <w:t>▲不提供本表将视为没有实质性响应采购文件要求。</w:t>
      </w:r>
    </w:p>
    <w:p>
      <w:pPr>
        <w:spacing w:line="360" w:lineRule="auto"/>
        <w:ind w:firstLine="660" w:firstLine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u w:val="single"/>
        </w:rPr>
        <w:t>▲此表中合计报价应与附件二-1“报价一览表”投标报价相一致。</w:t>
      </w:r>
      <w:bookmarkEnd w:id="207"/>
      <w:bookmarkStart w:id="208" w:name="_Toc3799554"/>
      <w:bookmarkStart w:id="209" w:name="_Toc518895412"/>
      <w:bookmarkStart w:id="210" w:name="_Toc522645682"/>
      <w:bookmarkStart w:id="211" w:name="_Toc20853"/>
      <w:bookmarkStart w:id="212" w:name="_Toc24002"/>
    </w:p>
    <w:p>
      <w:pPr>
        <w:spacing w:line="360" w:lineRule="auto"/>
        <w:ind w:firstLine="660" w:firstLine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综合单价包括了苗木采购、起挖、包装、装车、运输、办理检疫、利润、税金、采购代理服务费等完成合同所需的一切本身和不可或缺的所有工作开支、政策性文件规定及合同包含的所有风险、责任等各项全部费用。实行固定综合单价总包干，具体采购数量以采购人全年实际需求量为准，由此产生的风险由投标供应商自行考虑并承担。</w:t>
      </w:r>
    </w:p>
    <w:p>
      <w:pPr>
        <w:pStyle w:val="18"/>
        <w:rPr>
          <w:rFonts w:ascii="新宋体" w:hAnsi="新宋体" w:eastAsia="新宋体" w:cs="新宋体"/>
          <w:color w:val="auto"/>
          <w:sz w:val="22"/>
          <w:highlight w:val="none"/>
        </w:rPr>
      </w:pPr>
    </w:p>
    <w:p>
      <w:pPr>
        <w:pStyle w:val="18"/>
        <w:rPr>
          <w:rFonts w:ascii="新宋体" w:hAnsi="新宋体" w:eastAsia="新宋体" w:cs="新宋体"/>
          <w:color w:val="auto"/>
          <w:sz w:val="22"/>
          <w:highlight w:val="none"/>
        </w:rPr>
      </w:pPr>
    </w:p>
    <w:p>
      <w:pPr>
        <w:pStyle w:val="18"/>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投标人名称（盖章）：</w:t>
      </w:r>
    </w:p>
    <w:p>
      <w:pPr>
        <w:pStyle w:val="18"/>
        <w:ind w:left="660" w:hanging="660" w:hangingChars="30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投标人法定代表人（法定负责人）或授权代表</w:t>
      </w:r>
      <w:r>
        <w:rPr>
          <w:rFonts w:hint="eastAsia" w:ascii="新宋体" w:hAnsi="新宋体" w:eastAsia="新宋体" w:cs="新宋体"/>
          <w:color w:val="auto"/>
          <w:sz w:val="22"/>
          <w:highlight w:val="none"/>
        </w:rPr>
        <w:t>（签字或盖章）：</w:t>
      </w:r>
    </w:p>
    <w:p>
      <w:pPr>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overflowPunct w:val="0"/>
        <w:spacing w:before="100" w:beforeAutospacing="1" w:after="100" w:afterAutospacing="1" w:line="440" w:lineRule="exact"/>
        <w:jc w:val="left"/>
        <w:outlineLvl w:val="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附件三 </w:t>
      </w:r>
      <w:bookmarkEnd w:id="208"/>
      <w:bookmarkEnd w:id="209"/>
      <w:bookmarkEnd w:id="210"/>
      <w:bookmarkEnd w:id="211"/>
      <w:bookmarkEnd w:id="212"/>
      <w:r>
        <w:rPr>
          <w:rFonts w:hint="eastAsia" w:ascii="新宋体" w:hAnsi="新宋体" w:eastAsia="新宋体" w:cs="新宋体"/>
          <w:b/>
          <w:bCs/>
          <w:color w:val="auto"/>
          <w:sz w:val="22"/>
          <w:szCs w:val="22"/>
          <w:highlight w:val="none"/>
        </w:rPr>
        <w:t>技术规格、商务条款偏离表</w:t>
      </w:r>
    </w:p>
    <w:p>
      <w:pPr>
        <w:spacing w:line="380" w:lineRule="exact"/>
        <w:ind w:left="-358" w:leftChars="-171" w:hanging="1"/>
        <w:jc w:val="center"/>
        <w:rPr>
          <w:rFonts w:ascii="新宋体" w:hAnsi="新宋体" w:eastAsia="新宋体" w:cs="新宋体"/>
          <w:b/>
          <w:bCs/>
          <w:color w:val="auto"/>
          <w:sz w:val="28"/>
          <w:szCs w:val="28"/>
          <w:highlight w:val="none"/>
        </w:rPr>
      </w:pPr>
      <w:bookmarkStart w:id="213" w:name="_Toc184281693"/>
      <w:r>
        <w:rPr>
          <w:rFonts w:hint="eastAsia" w:ascii="新宋体" w:hAnsi="新宋体" w:eastAsia="新宋体" w:cs="新宋体"/>
          <w:b/>
          <w:bCs/>
          <w:color w:val="auto"/>
          <w:sz w:val="28"/>
          <w:szCs w:val="28"/>
          <w:highlight w:val="none"/>
        </w:rPr>
        <w:t>技术规格、商务条款偏离表</w:t>
      </w:r>
    </w:p>
    <w:p>
      <w:pPr>
        <w:spacing w:line="560" w:lineRule="exact"/>
        <w:rPr>
          <w:rFonts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rPr>
        <w:t>项目名称：                                            项目编号：</w:t>
      </w:r>
    </w:p>
    <w:tbl>
      <w:tblPr>
        <w:tblStyle w:val="30"/>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883"/>
        <w:gridCol w:w="1908"/>
        <w:gridCol w:w="1976"/>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91"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   容</w:t>
            </w:r>
          </w:p>
        </w:tc>
        <w:tc>
          <w:tcPr>
            <w:tcW w:w="1883"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采购文件</w:t>
            </w:r>
          </w:p>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条目</w:t>
            </w:r>
          </w:p>
        </w:tc>
        <w:tc>
          <w:tcPr>
            <w:tcW w:w="1908"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采购文件</w:t>
            </w:r>
          </w:p>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技术规格要求</w:t>
            </w:r>
          </w:p>
        </w:tc>
        <w:tc>
          <w:tcPr>
            <w:tcW w:w="1976"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w:t>
            </w:r>
          </w:p>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对应技术规格</w:t>
            </w:r>
          </w:p>
        </w:tc>
        <w:tc>
          <w:tcPr>
            <w:tcW w:w="2001"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691" w:type="dxa"/>
            <w:vMerge w:val="restart"/>
            <w:vAlign w:val="center"/>
          </w:tcPr>
          <w:p>
            <w:pP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技术条款</w:t>
            </w: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b/>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b/>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b/>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b/>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restart"/>
            <w:vAlign w:val="center"/>
          </w:tcPr>
          <w:p>
            <w:pP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商务条款</w:t>
            </w: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691" w:type="dxa"/>
            <w:vMerge w:val="continue"/>
            <w:vAlign w:val="center"/>
          </w:tcPr>
          <w:p>
            <w:pPr>
              <w:jc w:val="center"/>
              <w:rPr>
                <w:rFonts w:ascii="新宋体" w:hAnsi="新宋体" w:eastAsia="新宋体" w:cs="新宋体"/>
                <w:color w:val="auto"/>
                <w:sz w:val="22"/>
                <w:szCs w:val="22"/>
                <w:highlight w:val="none"/>
              </w:rPr>
            </w:pPr>
          </w:p>
        </w:tc>
        <w:tc>
          <w:tcPr>
            <w:tcW w:w="1883" w:type="dxa"/>
            <w:vAlign w:val="center"/>
          </w:tcPr>
          <w:p>
            <w:pPr>
              <w:jc w:val="center"/>
              <w:rPr>
                <w:rFonts w:ascii="新宋体" w:hAnsi="新宋体" w:eastAsia="新宋体" w:cs="新宋体"/>
                <w:color w:val="auto"/>
                <w:sz w:val="22"/>
                <w:szCs w:val="22"/>
                <w:highlight w:val="none"/>
              </w:rPr>
            </w:pPr>
          </w:p>
        </w:tc>
        <w:tc>
          <w:tcPr>
            <w:tcW w:w="1908" w:type="dxa"/>
            <w:vAlign w:val="center"/>
          </w:tcPr>
          <w:p>
            <w:pPr>
              <w:jc w:val="center"/>
              <w:rPr>
                <w:rFonts w:ascii="新宋体" w:hAnsi="新宋体" w:eastAsia="新宋体" w:cs="新宋体"/>
                <w:color w:val="auto"/>
                <w:sz w:val="22"/>
                <w:szCs w:val="22"/>
                <w:highlight w:val="none"/>
              </w:rPr>
            </w:pPr>
          </w:p>
        </w:tc>
        <w:tc>
          <w:tcPr>
            <w:tcW w:w="1976" w:type="dxa"/>
            <w:vAlign w:val="center"/>
          </w:tcPr>
          <w:p>
            <w:pPr>
              <w:jc w:val="center"/>
              <w:rPr>
                <w:rFonts w:ascii="新宋体" w:hAnsi="新宋体" w:eastAsia="新宋体" w:cs="新宋体"/>
                <w:color w:val="auto"/>
                <w:sz w:val="22"/>
                <w:szCs w:val="22"/>
                <w:highlight w:val="none"/>
              </w:rPr>
            </w:pPr>
          </w:p>
        </w:tc>
        <w:tc>
          <w:tcPr>
            <w:tcW w:w="2001" w:type="dxa"/>
            <w:vAlign w:val="center"/>
          </w:tcPr>
          <w:p>
            <w:pPr>
              <w:jc w:val="center"/>
              <w:rPr>
                <w:rFonts w:ascii="新宋体" w:hAnsi="新宋体" w:eastAsia="新宋体" w:cs="新宋体"/>
                <w:color w:val="auto"/>
                <w:sz w:val="22"/>
                <w:szCs w:val="22"/>
                <w:highlight w:val="none"/>
              </w:rPr>
            </w:pPr>
          </w:p>
        </w:tc>
      </w:tr>
    </w:tbl>
    <w:p>
      <w:pPr>
        <w:pStyle w:val="18"/>
        <w:spacing w:line="400" w:lineRule="atLeast"/>
        <w:ind w:left="537" w:hanging="537" w:hangingChars="243"/>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注： 1、</w:t>
      </w:r>
      <w:r>
        <w:rPr>
          <w:rFonts w:hint="eastAsia" w:ascii="新宋体" w:hAnsi="新宋体" w:eastAsia="新宋体" w:cs="新宋体"/>
          <w:b/>
          <w:color w:val="auto"/>
          <w:sz w:val="22"/>
          <w:szCs w:val="22"/>
          <w:highlight w:val="none"/>
          <w:u w:val="single"/>
        </w:rPr>
        <w:t>▲如有偏离，必须在偏离表中进行详细对比说明并注明正偏离和负偏离，如不填写此表或未提供此表，均视为完全响应采购文件要求。</w:t>
      </w:r>
    </w:p>
    <w:p>
      <w:pPr>
        <w:rPr>
          <w:rFonts w:ascii="新宋体" w:hAnsi="新宋体" w:eastAsia="新宋体" w:cs="新宋体"/>
          <w:color w:val="auto"/>
          <w:sz w:val="22"/>
          <w:szCs w:val="22"/>
          <w:highlight w:val="none"/>
        </w:rPr>
      </w:pPr>
    </w:p>
    <w:p>
      <w:pPr>
        <w:pStyle w:val="3"/>
        <w:rPr>
          <w:rFonts w:ascii="新宋体" w:hAnsi="新宋体" w:eastAsia="新宋体" w:cs="新宋体"/>
          <w:color w:val="auto"/>
          <w:highlight w:val="none"/>
        </w:rPr>
      </w:pPr>
    </w:p>
    <w:p>
      <w:pPr>
        <w:spacing w:line="40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投标人名称</w:t>
      </w:r>
      <w:r>
        <w:rPr>
          <w:rFonts w:hint="eastAsia" w:ascii="新宋体" w:hAnsi="新宋体" w:eastAsia="新宋体" w:cs="新宋体"/>
          <w:color w:val="auto"/>
          <w:sz w:val="22"/>
          <w:szCs w:val="22"/>
          <w:highlight w:val="none"/>
        </w:rPr>
        <w:t>（盖章）：</w:t>
      </w:r>
    </w:p>
    <w:p>
      <w:pPr>
        <w:spacing w:line="40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w:t>
      </w:r>
      <w:r>
        <w:rPr>
          <w:rFonts w:hint="eastAsia" w:ascii="新宋体" w:hAnsi="新宋体" w:eastAsia="新宋体" w:cs="新宋体"/>
          <w:color w:val="auto"/>
          <w:sz w:val="22"/>
          <w:highlight w:val="none"/>
        </w:rPr>
        <w:t>（签字或盖章）：</w:t>
      </w:r>
    </w:p>
    <w:p>
      <w:pPr>
        <w:spacing w:line="40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bookmarkEnd w:id="213"/>
    <w:p>
      <w:pPr>
        <w:widowControl/>
        <w:jc w:val="left"/>
        <w:rPr>
          <w:rFonts w:ascii="新宋体" w:hAnsi="新宋体" w:eastAsia="新宋体" w:cs="新宋体"/>
          <w:b/>
          <w:bCs/>
          <w:color w:val="auto"/>
          <w:sz w:val="22"/>
          <w:szCs w:val="22"/>
          <w:highlight w:val="none"/>
        </w:rPr>
      </w:pPr>
      <w:bookmarkStart w:id="214" w:name="_Toc518895415"/>
      <w:bookmarkStart w:id="215" w:name="_Toc432495805"/>
      <w:bookmarkStart w:id="216" w:name="_Toc301515377"/>
      <w:bookmarkStart w:id="217" w:name="_Toc522645683"/>
      <w:bookmarkStart w:id="218" w:name="_Toc3836"/>
      <w:bookmarkStart w:id="219" w:name="_Toc432495863"/>
      <w:bookmarkStart w:id="220" w:name="_Toc27695"/>
      <w:bookmarkStart w:id="221" w:name="_Toc301515480"/>
      <w:r>
        <w:rPr>
          <w:rFonts w:hint="eastAsia" w:ascii="新宋体" w:hAnsi="新宋体" w:eastAsia="新宋体" w:cs="新宋体"/>
          <w:b/>
          <w:bCs/>
          <w:color w:val="auto"/>
          <w:sz w:val="22"/>
          <w:szCs w:val="22"/>
          <w:highlight w:val="none"/>
        </w:rPr>
        <w:br w:type="page"/>
      </w:r>
    </w:p>
    <w:p>
      <w:pPr>
        <w:overflowPunct w:val="0"/>
        <w:spacing w:before="100" w:beforeAutospacing="1" w:after="100" w:afterAutospacing="1" w:line="440" w:lineRule="exact"/>
        <w:jc w:val="left"/>
        <w:outlineLvl w:val="0"/>
        <w:rPr>
          <w:rFonts w:ascii="新宋体" w:hAnsi="新宋体" w:eastAsia="新宋体" w:cs="新宋体"/>
          <w:b/>
          <w:bCs/>
          <w:color w:val="auto"/>
          <w:sz w:val="22"/>
          <w:szCs w:val="22"/>
          <w:highlight w:val="none"/>
        </w:rPr>
      </w:pPr>
      <w:bookmarkStart w:id="222" w:name="_Toc3799555"/>
      <w:r>
        <w:rPr>
          <w:rFonts w:hint="eastAsia" w:ascii="新宋体" w:hAnsi="新宋体" w:eastAsia="新宋体" w:cs="新宋体"/>
          <w:b/>
          <w:bCs/>
          <w:color w:val="auto"/>
          <w:sz w:val="22"/>
          <w:szCs w:val="22"/>
          <w:highlight w:val="none"/>
        </w:rPr>
        <w:t xml:space="preserve">附件四  </w:t>
      </w:r>
      <w:bookmarkEnd w:id="214"/>
      <w:bookmarkEnd w:id="215"/>
      <w:bookmarkEnd w:id="216"/>
      <w:bookmarkEnd w:id="217"/>
      <w:bookmarkEnd w:id="218"/>
      <w:bookmarkEnd w:id="219"/>
      <w:bookmarkEnd w:id="220"/>
      <w:bookmarkEnd w:id="221"/>
      <w:bookmarkEnd w:id="222"/>
    </w:p>
    <w:p>
      <w:pPr>
        <w:spacing w:line="380" w:lineRule="exact"/>
        <w:ind w:left="-358" w:leftChars="-171" w:hanging="1"/>
        <w:jc w:val="center"/>
        <w:rPr>
          <w:rFonts w:ascii="新宋体" w:hAnsi="新宋体" w:eastAsia="新宋体" w:cs="新宋体"/>
          <w:b/>
          <w:bCs/>
          <w:color w:val="auto"/>
          <w:sz w:val="28"/>
          <w:szCs w:val="28"/>
          <w:highlight w:val="none"/>
        </w:rPr>
      </w:pPr>
    </w:p>
    <w:p>
      <w:pPr>
        <w:spacing w:line="380" w:lineRule="exact"/>
        <w:ind w:left="361"/>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法定代表人（法定负责人）授权书</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温州市名城资产营运有限公司</w:t>
      </w:r>
      <w:r>
        <w:rPr>
          <w:rFonts w:hint="eastAsia" w:ascii="新宋体" w:hAnsi="新宋体" w:eastAsia="新宋体" w:cs="新宋体"/>
          <w:color w:val="auto"/>
          <w:sz w:val="22"/>
          <w:szCs w:val="22"/>
          <w:highlight w:val="none"/>
        </w:rPr>
        <w:t>：</w:t>
      </w:r>
    </w:p>
    <w:p>
      <w:pPr>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（投标人全称）法定代表人（法定负责人）授权</w:t>
      </w:r>
      <w:r>
        <w:rPr>
          <w:rFonts w:hint="eastAsia" w:ascii="新宋体" w:hAnsi="新宋体" w:eastAsia="新宋体" w:cs="新宋体"/>
          <w:color w:val="auto"/>
          <w:sz w:val="22"/>
          <w:szCs w:val="22"/>
          <w:highlight w:val="none"/>
          <w:u w:val="single"/>
        </w:rPr>
        <w:t xml:space="preserve">      (全权代表姓名）</w:t>
      </w:r>
      <w:r>
        <w:rPr>
          <w:rFonts w:hint="eastAsia" w:ascii="新宋体" w:hAnsi="新宋体" w:eastAsia="新宋体" w:cs="新宋体"/>
          <w:color w:val="auto"/>
          <w:sz w:val="22"/>
          <w:szCs w:val="22"/>
          <w:highlight w:val="none"/>
        </w:rPr>
        <w:t>为全权代表，参加贵单位组织的</w:t>
      </w:r>
      <w:r>
        <w:rPr>
          <w:rFonts w:hint="eastAsia" w:ascii="新宋体" w:hAnsi="新宋体" w:eastAsia="新宋体" w:cs="新宋体"/>
          <w:color w:val="auto"/>
          <w:sz w:val="22"/>
          <w:szCs w:val="22"/>
          <w:highlight w:val="none"/>
          <w:u w:val="single"/>
        </w:rPr>
        <w:t xml:space="preserve">     （项目名称、项目编号）     </w:t>
      </w:r>
      <w:r>
        <w:rPr>
          <w:rFonts w:hint="eastAsia" w:ascii="新宋体" w:hAnsi="新宋体" w:eastAsia="新宋体" w:cs="新宋体"/>
          <w:color w:val="auto"/>
          <w:sz w:val="22"/>
          <w:szCs w:val="22"/>
          <w:highlight w:val="none"/>
        </w:rPr>
        <w:t>的投标活动，全权代表我方处理投标活动中的一切事宜。</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本授权书于年月日签字生效，特此说明。</w:t>
      </w:r>
    </w:p>
    <w:p>
      <w:pPr>
        <w:spacing w:line="460" w:lineRule="exact"/>
        <w:ind w:firstLine="2955"/>
        <w:rPr>
          <w:rFonts w:ascii="新宋体" w:hAnsi="新宋体" w:eastAsia="新宋体" w:cs="新宋体"/>
          <w:color w:val="auto"/>
          <w:sz w:val="22"/>
          <w:szCs w:val="22"/>
          <w:highlight w:val="none"/>
        </w:rPr>
      </w:pPr>
    </w:p>
    <w:p>
      <w:pPr>
        <w:spacing w:line="460" w:lineRule="exact"/>
        <w:jc w:val="left"/>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法定代表人（法定负责人）(签字或盖章)：</w:t>
      </w:r>
    </w:p>
    <w:p>
      <w:pPr>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投标人名称</w:t>
      </w:r>
      <w:r>
        <w:rPr>
          <w:rFonts w:hint="eastAsia" w:ascii="新宋体" w:hAnsi="新宋体" w:eastAsia="新宋体" w:cs="新宋体"/>
          <w:color w:val="auto"/>
          <w:sz w:val="22"/>
          <w:szCs w:val="22"/>
          <w:highlight w:val="none"/>
        </w:rPr>
        <w:t>（公章）：</w:t>
      </w:r>
    </w:p>
    <w:p>
      <w:pPr>
        <w:spacing w:line="460" w:lineRule="exact"/>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授权代表姓名：</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tbl>
      <w:tblPr>
        <w:tblStyle w:val="30"/>
        <w:tblpPr w:leftFromText="180" w:rightFromText="180" w:vertAnchor="text" w:horzAnchor="margin" w:tblpXSpec="right" w:tblpY="1820"/>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Pr>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投标人授权代表身份证正反面复制件</w:t>
            </w:r>
          </w:p>
          <w:p>
            <w:pPr>
              <w:spacing w:line="460" w:lineRule="exact"/>
              <w:ind w:firstLine="1760" w:firstLineChars="8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（粘贴处）</w:t>
            </w:r>
          </w:p>
        </w:tc>
      </w:tr>
    </w:tbl>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详细通讯地址：  </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440" w:lineRule="exact"/>
        <w:rPr>
          <w:rFonts w:ascii="新宋体" w:hAnsi="新宋体" w:eastAsia="新宋体" w:cs="新宋体"/>
          <w:b/>
          <w:color w:val="auto"/>
          <w:sz w:val="22"/>
          <w:highlight w:val="none"/>
        </w:rPr>
      </w:pPr>
    </w:p>
    <w:p>
      <w:pPr>
        <w:spacing w:line="440" w:lineRule="exact"/>
        <w:rPr>
          <w:rFonts w:ascii="新宋体" w:hAnsi="新宋体" w:eastAsia="新宋体" w:cs="新宋体"/>
          <w:b/>
          <w:color w:val="auto"/>
          <w:sz w:val="22"/>
          <w:highlight w:val="none"/>
        </w:rPr>
      </w:pPr>
    </w:p>
    <w:p>
      <w:pPr>
        <w:spacing w:line="440" w:lineRule="exact"/>
        <w:rPr>
          <w:rFonts w:ascii="新宋体" w:hAnsi="新宋体" w:eastAsia="新宋体" w:cs="新宋体"/>
          <w:b/>
          <w:color w:val="auto"/>
          <w:sz w:val="22"/>
          <w:highlight w:val="none"/>
        </w:rPr>
      </w:pPr>
    </w:p>
    <w:p>
      <w:pPr>
        <w:overflowPunct w:val="0"/>
        <w:spacing w:before="100" w:beforeAutospacing="1" w:after="100" w:afterAutospacing="1" w:line="360" w:lineRule="auto"/>
        <w:jc w:val="left"/>
        <w:outlineLvl w:val="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附件五 资格证明文件</w:t>
      </w:r>
    </w:p>
    <w:p>
      <w:pPr>
        <w:numPr>
          <w:ilvl w:val="0"/>
          <w:numId w:val="29"/>
        </w:num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有效营业执照副本（或法人登记证书）复制件加盖投标人公章；</w:t>
      </w: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或省级机构（一级机构），如无明显确定为省级机构（一级机构）需提供证明】授权文件或能够提供房产</w:t>
      </w: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权证或其他有效财产证明材料（在投标文件中提供相关材料），证明其具备实际承担责任的能力和法定的缔结合同能力，可以独立参加采购活动，由单位负责人签署相关文件材料；</w:t>
      </w:r>
    </w:p>
    <w:p>
      <w:pPr>
        <w:pStyle w:val="17"/>
        <w:numPr>
          <w:ilvl w:val="0"/>
          <w:numId w:val="0"/>
        </w:numPr>
        <w:rPr>
          <w:rFonts w:ascii="新宋体" w:hAnsi="新宋体" w:eastAsia="新宋体" w:cs="新宋体"/>
          <w:b/>
          <w:bCs/>
          <w:color w:val="auto"/>
          <w:sz w:val="22"/>
          <w:szCs w:val="22"/>
          <w:highlight w:val="none"/>
        </w:rPr>
      </w:pPr>
    </w:p>
    <w:p>
      <w:pPr>
        <w:pStyle w:val="17"/>
        <w:numPr>
          <w:ilvl w:val="0"/>
          <w:numId w:val="0"/>
        </w:numPr>
        <w:rPr>
          <w:rFonts w:ascii="新宋体" w:hAnsi="新宋体" w:eastAsia="新宋体" w:cs="新宋体"/>
          <w:b/>
          <w:bCs/>
          <w:color w:val="auto"/>
          <w:sz w:val="22"/>
          <w:szCs w:val="22"/>
          <w:highlight w:val="none"/>
        </w:rPr>
      </w:pPr>
    </w:p>
    <w:p>
      <w:pPr>
        <w:pStyle w:val="17"/>
        <w:numPr>
          <w:ilvl w:val="0"/>
          <w:numId w:val="0"/>
        </w:numPr>
        <w:ind w:left="420"/>
        <w:rPr>
          <w:rFonts w:ascii="新宋体" w:hAnsi="新宋体" w:eastAsia="新宋体" w:cs="新宋体"/>
          <w:color w:val="auto"/>
          <w:highlight w:val="none"/>
        </w:rPr>
      </w:pPr>
    </w:p>
    <w:p>
      <w:pPr>
        <w:pStyle w:val="3"/>
        <w:numPr>
          <w:ilvl w:val="0"/>
          <w:numId w:val="29"/>
        </w:numPr>
        <w:spacing w:line="360" w:lineRule="auto"/>
        <w:ind w:left="0" w:firstLine="0" w:firstLineChars="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具有良好的商业信誉和健全的财务会计制度的承诺函;</w:t>
      </w:r>
    </w:p>
    <w:p>
      <w:pPr>
        <w:shd w:val="clear" w:color="auto" w:fill="FFFFFF"/>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温州市名城资产营运有限公司、浙江省成套招标代理有限公司</w:t>
      </w:r>
      <w:r>
        <w:rPr>
          <w:rFonts w:hint="eastAsia" w:ascii="新宋体" w:hAnsi="新宋体" w:eastAsia="新宋体" w:cs="新宋体"/>
          <w:color w:val="auto"/>
          <w:kern w:val="0"/>
          <w:sz w:val="22"/>
          <w:szCs w:val="22"/>
          <w:highlight w:val="none"/>
        </w:rPr>
        <w:t>：</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承诺具有良好的商业信誉和健全的财务会计制度。如有虚假，采购人可取消我方任何资格（投标/中标/签订合同），我方对此无任何异议。</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pStyle w:val="3"/>
        <w:rPr>
          <w:rFonts w:ascii="新宋体" w:hAnsi="新宋体" w:eastAsia="新宋体" w:cs="新宋体"/>
          <w:color w:val="auto"/>
          <w:highlight w:val="none"/>
        </w:rPr>
      </w:pP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 ：</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17"/>
        <w:numPr>
          <w:ilvl w:val="0"/>
          <w:numId w:val="0"/>
        </w:numPr>
        <w:ind w:left="420"/>
        <w:rPr>
          <w:rFonts w:ascii="新宋体" w:hAnsi="新宋体" w:eastAsia="新宋体" w:cs="新宋体"/>
          <w:color w:val="auto"/>
          <w:kern w:val="0"/>
          <w:sz w:val="22"/>
          <w:szCs w:val="22"/>
          <w:highlight w:val="none"/>
        </w:rPr>
      </w:pPr>
    </w:p>
    <w:p>
      <w:pPr>
        <w:pStyle w:val="3"/>
        <w:spacing w:line="360" w:lineRule="auto"/>
        <w:ind w:left="0" w:firstLine="0" w:firstLineChars="0"/>
        <w:rPr>
          <w:rFonts w:ascii="新宋体" w:hAnsi="新宋体" w:eastAsia="新宋体" w:cs="新宋体"/>
          <w:b/>
          <w:bCs/>
          <w:color w:val="auto"/>
          <w:sz w:val="22"/>
          <w:szCs w:val="22"/>
          <w:highlight w:val="none"/>
          <w:u w:val="single"/>
        </w:rPr>
      </w:pPr>
    </w:p>
    <w:p>
      <w:pPr>
        <w:spacing w:line="360" w:lineRule="auto"/>
        <w:outlineLvl w:val="1"/>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c、具有履行合同所必需的设备和专业技术、售后保障等能力的承诺函</w:t>
      </w:r>
    </w:p>
    <w:p>
      <w:pPr>
        <w:shd w:val="clear" w:color="auto" w:fill="FFFFFF"/>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温州市名城资产营运有限公司、</w:t>
      </w:r>
      <w:r>
        <w:rPr>
          <w:rFonts w:hint="eastAsia" w:ascii="新宋体" w:hAnsi="新宋体" w:eastAsia="新宋体" w:cs="新宋体"/>
          <w:color w:val="auto"/>
          <w:sz w:val="22"/>
          <w:szCs w:val="22"/>
          <w:highlight w:val="none"/>
        </w:rPr>
        <w:t>浙江省成套招标代理有限公司</w:t>
      </w:r>
      <w:r>
        <w:rPr>
          <w:rFonts w:hint="eastAsia" w:ascii="新宋体" w:hAnsi="新宋体" w:eastAsia="新宋体" w:cs="新宋体"/>
          <w:color w:val="auto"/>
          <w:kern w:val="0"/>
          <w:sz w:val="22"/>
          <w:szCs w:val="22"/>
          <w:highlight w:val="none"/>
        </w:rPr>
        <w:t>：</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承诺具有履行合同所必需的场地、设备和专业技术、售后保障等能力。如有虚假，采购人可取消我方任何资格（投标/中标/签订合同），我方对此无任何异议。</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pStyle w:val="3"/>
        <w:spacing w:line="360" w:lineRule="auto"/>
        <w:ind w:left="440" w:hanging="440"/>
        <w:rPr>
          <w:rFonts w:ascii="新宋体" w:hAnsi="新宋体" w:eastAsia="新宋体" w:cs="新宋体"/>
          <w:color w:val="auto"/>
          <w:sz w:val="22"/>
          <w:szCs w:val="22"/>
          <w:highlight w:val="none"/>
        </w:rPr>
      </w:pP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60" w:lineRule="auto"/>
        <w:rPr>
          <w:rFonts w:ascii="新宋体" w:hAnsi="新宋体" w:eastAsia="新宋体" w:cs="新宋体"/>
          <w:b/>
          <w:color w:val="auto"/>
          <w:kern w:val="36"/>
          <w:sz w:val="22"/>
          <w:szCs w:val="22"/>
          <w:highlight w:val="none"/>
        </w:rPr>
      </w:pPr>
      <w:r>
        <w:rPr>
          <w:rFonts w:hint="eastAsia" w:ascii="新宋体" w:hAnsi="新宋体" w:eastAsia="新宋体" w:cs="新宋体"/>
          <w:b/>
          <w:bCs/>
          <w:color w:val="auto"/>
          <w:sz w:val="22"/>
          <w:szCs w:val="22"/>
          <w:highlight w:val="none"/>
        </w:rPr>
        <w:t>d、</w:t>
      </w:r>
      <w:r>
        <w:rPr>
          <w:rFonts w:hint="eastAsia" w:ascii="新宋体" w:hAnsi="新宋体" w:eastAsia="新宋体" w:cs="新宋体"/>
          <w:b/>
          <w:color w:val="auto"/>
          <w:kern w:val="36"/>
          <w:sz w:val="22"/>
          <w:szCs w:val="22"/>
          <w:highlight w:val="none"/>
        </w:rPr>
        <w:t>依法缴纳税收和社会保障资金的承诺函</w:t>
      </w:r>
    </w:p>
    <w:p>
      <w:pPr>
        <w:shd w:val="clear" w:color="auto" w:fill="FFFFFF"/>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温州市名城资产营运有限公司、浙江省成套招标代理有限公司</w:t>
      </w:r>
      <w:r>
        <w:rPr>
          <w:rFonts w:hint="eastAsia" w:ascii="新宋体" w:hAnsi="新宋体" w:eastAsia="新宋体" w:cs="新宋体"/>
          <w:color w:val="auto"/>
          <w:kern w:val="0"/>
          <w:sz w:val="22"/>
          <w:szCs w:val="22"/>
          <w:highlight w:val="none"/>
        </w:rPr>
        <w:t>：</w:t>
      </w:r>
    </w:p>
    <w:p>
      <w:pPr>
        <w:spacing w:line="360" w:lineRule="auto"/>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360" w:lineRule="auto"/>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rPr>
          <w:rFonts w:ascii="新宋体" w:hAnsi="新宋体" w:eastAsia="新宋体" w:cs="新宋体"/>
          <w:color w:val="auto"/>
          <w:sz w:val="22"/>
          <w:szCs w:val="22"/>
          <w:highlight w:val="none"/>
        </w:rPr>
      </w:pPr>
    </w:p>
    <w:p>
      <w:pPr>
        <w:pStyle w:val="3"/>
        <w:spacing w:line="360" w:lineRule="auto"/>
        <w:ind w:left="440" w:hanging="440"/>
        <w:jc w:val="center"/>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e、</w:t>
      </w:r>
      <w:r>
        <w:rPr>
          <w:rFonts w:hint="eastAsia" w:ascii="新宋体" w:hAnsi="新宋体" w:eastAsia="新宋体" w:cs="新宋体"/>
          <w:b/>
          <w:bCs/>
          <w:color w:val="auto"/>
          <w:sz w:val="22"/>
          <w:szCs w:val="22"/>
          <w:highlight w:val="none"/>
        </w:rPr>
        <w:t>参加采购、招投标等活动前三年内，在经营活动中没有重大违法记录、严重失信行为和行贿记录的声明函；</w:t>
      </w:r>
    </w:p>
    <w:p>
      <w:pPr>
        <w:shd w:val="clear" w:color="auto" w:fill="FFFFFF"/>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温州市名城资产营运有限公司、浙江省成套招标代理有限公司</w:t>
      </w:r>
      <w:r>
        <w:rPr>
          <w:rFonts w:hint="eastAsia" w:ascii="新宋体" w:hAnsi="新宋体" w:eastAsia="新宋体" w:cs="新宋体"/>
          <w:color w:val="auto"/>
          <w:kern w:val="0"/>
          <w:sz w:val="22"/>
          <w:szCs w:val="22"/>
          <w:highlight w:val="none"/>
        </w:rPr>
        <w:t>：</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具有良好的商业信誉，依法缴纳税收和社会保障资金，未被列入失信被执行人名单、重大税收违法案件当事人名单、严重违法失信行为记录名单，参加本次采购活动前三年内在经营活动中没有重大违法记录（没有因违法经营受到刑事处罚，没有被责令停产停业、被吊销许可证或者执照、被处以较大数额罚款等行政处罚，没有因违法经营被禁止参加国企采购或政府采购活动的期限未满情形）。如有虚假，采购人可取消我方任何资格（投标/中标/签订合同），我方对此无任何异议。</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pStyle w:val="3"/>
        <w:spacing w:line="360" w:lineRule="auto"/>
        <w:ind w:left="0" w:firstLine="0" w:firstLineChars="0"/>
        <w:rPr>
          <w:rFonts w:ascii="新宋体" w:hAnsi="新宋体" w:eastAsia="新宋体" w:cs="新宋体"/>
          <w:b/>
          <w:bCs/>
          <w:color w:val="auto"/>
          <w:sz w:val="22"/>
          <w:szCs w:val="22"/>
          <w:highlight w:val="none"/>
        </w:rPr>
      </w:pPr>
    </w:p>
    <w:p>
      <w:pPr>
        <w:pStyle w:val="3"/>
        <w:spacing w:line="360" w:lineRule="auto"/>
        <w:ind w:left="0" w:firstLine="0" w:firstLineChars="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f、投标人没有失信记录承诺函；</w:t>
      </w:r>
    </w:p>
    <w:p>
      <w:pPr>
        <w:shd w:val="clear" w:color="auto" w:fill="FFFFFF"/>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温州市名城资产营运有限公司、浙江省成套招标代理有限公司</w:t>
      </w:r>
      <w:r>
        <w:rPr>
          <w:rFonts w:hint="eastAsia" w:ascii="新宋体" w:hAnsi="新宋体" w:eastAsia="新宋体" w:cs="新宋体"/>
          <w:color w:val="auto"/>
          <w:kern w:val="0"/>
          <w:sz w:val="22"/>
          <w:szCs w:val="22"/>
          <w:highlight w:val="none"/>
        </w:rPr>
        <w:t>：</w:t>
      </w:r>
    </w:p>
    <w:p>
      <w:pPr>
        <w:spacing w:line="360" w:lineRule="auto"/>
        <w:ind w:firstLine="444" w:firstLineChars="202"/>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公司郑重承诺：到本项目投标截止时间为止，我公司未被“信用中国”（www.creditchina.gov.cn）、中国政府采购网（www.ccgp.gov.cn）列入失信被执行人名单、重大税收违法案件当事人名单、采购严重违法失信行为记录名单。如有隐瞒，愿承担一切责任。</w:t>
      </w:r>
    </w:p>
    <w:p>
      <w:pPr>
        <w:shd w:val="clear" w:color="auto" w:fill="FFFFFF"/>
        <w:snapToGrid w:val="0"/>
        <w:spacing w:line="360" w:lineRule="auto"/>
        <w:rPr>
          <w:rFonts w:ascii="新宋体" w:hAnsi="新宋体" w:eastAsia="新宋体" w:cs="新宋体"/>
          <w:color w:val="auto"/>
          <w:sz w:val="22"/>
          <w:szCs w:val="22"/>
          <w:highlight w:val="none"/>
        </w:rPr>
      </w:pP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投标人全称（盖章） ：</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rPr>
          <w:rFonts w:ascii="新宋体" w:hAnsi="新宋体" w:eastAsia="新宋体" w:cs="新宋体"/>
          <w:b/>
          <w:bCs/>
          <w:color w:val="auto"/>
          <w:sz w:val="22"/>
          <w:szCs w:val="22"/>
          <w:highlight w:val="none"/>
        </w:rPr>
      </w:pPr>
    </w:p>
    <w:p>
      <w:pPr>
        <w:pStyle w:val="3"/>
        <w:spacing w:line="360" w:lineRule="auto"/>
        <w:ind w:left="0" w:firstLine="0" w:firstLineChars="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g、单位负责人为同一人或者存在直接控股、管理关系的不同供应商，不得参加本项目采购活动承诺函</w:t>
      </w:r>
    </w:p>
    <w:p>
      <w:pPr>
        <w:pStyle w:val="3"/>
        <w:spacing w:line="360" w:lineRule="auto"/>
        <w:ind w:left="440" w:hanging="44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温州市名城资产营运有限公司、浙江省成套招标代理有限公司</w:t>
      </w:r>
      <w:r>
        <w:rPr>
          <w:rFonts w:hint="eastAsia" w:ascii="新宋体" w:hAnsi="新宋体" w:eastAsia="新宋体" w:cs="新宋体"/>
          <w:color w:val="auto"/>
          <w:kern w:val="0"/>
          <w:sz w:val="22"/>
          <w:szCs w:val="22"/>
          <w:highlight w:val="none"/>
        </w:rPr>
        <w:t>：</w:t>
      </w:r>
    </w:p>
    <w:p>
      <w:pPr>
        <w:spacing w:line="360" w:lineRule="auto"/>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我方郑重承诺，我方此次参加温州市名城资产营运有限公司</w:t>
      </w:r>
      <w:r>
        <w:rPr>
          <w:rFonts w:hint="eastAsia" w:ascii="新宋体" w:hAnsi="新宋体" w:eastAsia="新宋体" w:cs="新宋体"/>
          <w:color w:val="auto"/>
          <w:kern w:val="0"/>
          <w:sz w:val="22"/>
          <w:szCs w:val="22"/>
          <w:highlight w:val="none"/>
          <w:lang w:eastAsia="zh-CN"/>
        </w:rPr>
        <w:t>印象南塘景区花卉苗木（第二次）</w:t>
      </w:r>
      <w:r>
        <w:rPr>
          <w:rFonts w:hint="eastAsia" w:ascii="新宋体" w:hAnsi="新宋体" w:eastAsia="新宋体" w:cs="新宋体"/>
          <w:color w:val="auto"/>
          <w:kern w:val="0"/>
          <w:sz w:val="22"/>
          <w:szCs w:val="22"/>
          <w:highlight w:val="none"/>
        </w:rPr>
        <w:t>项目的投标，与参加本次项目采购活动的其他供应商不存在单位负责人为同一人或者直接控股、管理关系。如有虚假或隐瞒，愿意承担一切后果。</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snapToGrid w:val="0"/>
        <w:spacing w:line="360" w:lineRule="auto"/>
        <w:ind w:firstLine="440" w:firstLineChars="200"/>
        <w:jc w:val="left"/>
        <w:rPr>
          <w:rFonts w:ascii="新宋体" w:hAnsi="新宋体" w:eastAsia="新宋体" w:cs="新宋体"/>
          <w:color w:val="auto"/>
          <w:kern w:val="0"/>
          <w:sz w:val="22"/>
          <w:szCs w:val="22"/>
          <w:highlight w:val="none"/>
        </w:rPr>
      </w:pP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h、</w:t>
      </w:r>
      <w:r>
        <w:rPr>
          <w:rFonts w:hint="eastAsia" w:ascii="新宋体" w:hAnsi="新宋体" w:eastAsia="新宋体" w:cs="新宋体"/>
          <w:b/>
          <w:bCs/>
          <w:color w:val="auto"/>
          <w:sz w:val="22"/>
          <w:szCs w:val="22"/>
          <w:highlight w:val="none"/>
          <w:u w:val="single"/>
        </w:rPr>
        <w:t>投标人有效的林木种子生产许可证和林木种子经营许可证（或具备有效的林木种子生产经营许可证)复制件加盖投标人公章;</w:t>
      </w: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i、非联合体声明书</w:t>
      </w:r>
    </w:p>
    <w:p>
      <w:pPr>
        <w:pStyle w:val="3"/>
        <w:spacing w:line="360" w:lineRule="auto"/>
        <w:ind w:left="440" w:hanging="440"/>
        <w:rPr>
          <w:rFonts w:ascii="新宋体" w:hAnsi="新宋体" w:eastAsia="新宋体" w:cs="新宋体"/>
          <w:color w:val="auto"/>
          <w:sz w:val="22"/>
          <w:szCs w:val="22"/>
          <w:highlight w:val="none"/>
        </w:rPr>
      </w:pPr>
      <w:r>
        <w:rPr>
          <w:rFonts w:hint="eastAsia" w:ascii="新宋体" w:hAnsi="新宋体" w:eastAsia="新宋体" w:cs="新宋体"/>
          <w:bCs/>
          <w:color w:val="auto"/>
          <w:kern w:val="0"/>
          <w:sz w:val="22"/>
          <w:szCs w:val="22"/>
          <w:highlight w:val="none"/>
          <w:u w:val="single"/>
        </w:rPr>
        <w:t>温州市名城资产营运有限公司、浙江省成套招标代理有限公司</w:t>
      </w:r>
      <w:r>
        <w:rPr>
          <w:rFonts w:hint="eastAsia" w:ascii="新宋体" w:hAnsi="新宋体" w:eastAsia="新宋体" w:cs="新宋体"/>
          <w:bCs/>
          <w:color w:val="auto"/>
          <w:kern w:val="0"/>
          <w:sz w:val="22"/>
          <w:szCs w:val="22"/>
          <w:highlight w:val="none"/>
        </w:rPr>
        <w:t>：</w:t>
      </w:r>
    </w:p>
    <w:p>
      <w:pPr>
        <w:widowControl/>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我方参加</w:t>
      </w:r>
      <w:r>
        <w:rPr>
          <w:rFonts w:hint="eastAsia" w:ascii="新宋体" w:hAnsi="新宋体" w:eastAsia="新宋体" w:cs="新宋体"/>
          <w:color w:val="auto"/>
          <w:kern w:val="0"/>
          <w:sz w:val="22"/>
          <w:szCs w:val="22"/>
          <w:highlight w:val="none"/>
          <w:lang w:eastAsia="zh-CN"/>
        </w:rPr>
        <w:t>印象南塘景区花卉苗木（第二次）</w:t>
      </w:r>
      <w:r>
        <w:rPr>
          <w:rFonts w:hint="eastAsia" w:ascii="新宋体" w:hAnsi="新宋体" w:eastAsia="新宋体" w:cs="新宋体"/>
          <w:color w:val="auto"/>
          <w:kern w:val="0"/>
          <w:sz w:val="22"/>
          <w:szCs w:val="22"/>
          <w:highlight w:val="none"/>
        </w:rPr>
        <w:t>项目（项目编号：）的采购活动，未与其他单位组成联合体</w:t>
      </w:r>
      <w:r>
        <w:rPr>
          <w:rFonts w:hint="eastAsia" w:ascii="新宋体" w:hAnsi="新宋体" w:eastAsia="新宋体" w:cs="新宋体"/>
          <w:b/>
          <w:color w:val="auto"/>
          <w:kern w:val="0"/>
          <w:sz w:val="22"/>
          <w:szCs w:val="22"/>
          <w:highlight w:val="none"/>
        </w:rPr>
        <w:t xml:space="preserve">。 </w:t>
      </w:r>
    </w:p>
    <w:p>
      <w:pPr>
        <w:widowControl/>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我方上述声明的真实性负责，如有虚假或隐瞒，采购人可取消我方任何资格（投标/谈判/中标（成交）/签订合同），我方对此无任何异议， </w:t>
      </w:r>
    </w:p>
    <w:p>
      <w:pPr>
        <w:widowControl/>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并愿意承担一切后果和责任。</w:t>
      </w:r>
    </w:p>
    <w:p>
      <w:pPr>
        <w:spacing w:before="120" w:beforeLines="50" w:after="120" w:afterLines="50" w:line="360" w:lineRule="auto"/>
        <w:rPr>
          <w:rFonts w:ascii="新宋体" w:hAnsi="新宋体" w:eastAsia="新宋体" w:cs="新宋体"/>
          <w:color w:val="auto"/>
          <w:sz w:val="22"/>
          <w:szCs w:val="22"/>
          <w:highlight w:val="none"/>
        </w:rPr>
      </w:pP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注：以上证书、证明文件复制件应加盖公章。</w:t>
      </w:r>
    </w:p>
    <w:p>
      <w:pPr>
        <w:spacing w:line="440" w:lineRule="exact"/>
        <w:rPr>
          <w:rFonts w:ascii="新宋体" w:hAnsi="新宋体" w:eastAsia="新宋体" w:cs="新宋体"/>
          <w:b/>
          <w:color w:val="auto"/>
          <w:sz w:val="22"/>
          <w:highlight w:val="none"/>
        </w:rPr>
      </w:pPr>
    </w:p>
    <w:p>
      <w:pP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br w:type="page"/>
      </w:r>
    </w:p>
    <w:p>
      <w:pPr>
        <w:tabs>
          <w:tab w:val="left" w:pos="840"/>
        </w:tabs>
        <w:adjustRightInd w:val="0"/>
        <w:snapToGrid w:val="0"/>
        <w:spacing w:line="360" w:lineRule="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附件六 投标人项目业绩一览表</w:t>
      </w:r>
      <w:r>
        <w:rPr>
          <w:rFonts w:hint="eastAsia" w:ascii="新宋体" w:hAnsi="新宋体" w:eastAsia="新宋体" w:cs="新宋体"/>
          <w:b/>
          <w:bCs/>
          <w:color w:val="auto"/>
          <w:sz w:val="22"/>
          <w:szCs w:val="22"/>
          <w:highlight w:val="none"/>
        </w:rPr>
        <w:t>及证明材料</w:t>
      </w:r>
    </w:p>
    <w:p>
      <w:pPr>
        <w:pStyle w:val="14"/>
        <w:ind w:firstLine="221"/>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投标人项目业绩一览表及证明材料</w:t>
      </w:r>
    </w:p>
    <w:p>
      <w:pPr>
        <w:pStyle w:val="14"/>
        <w:ind w:firstLine="2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                                             项目编号：</w:t>
      </w:r>
    </w:p>
    <w:tbl>
      <w:tblPr>
        <w:tblStyle w:val="30"/>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序号</w:t>
            </w: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项目名称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用户单位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数量</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合同金额</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合同签订时间</w:t>
            </w:r>
          </w:p>
        </w:tc>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21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c>
          <w:tcPr>
            <w:tcW w:w="17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color w:val="auto"/>
                <w:sz w:val="22"/>
                <w:highlight w:val="none"/>
              </w:rPr>
            </w:pPr>
          </w:p>
        </w:tc>
      </w:tr>
    </w:tbl>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1.此表仅提供了表格形式，投标人应根据需要准备足够数量的表格来填写。</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2.每项业绩须根据技术资信表评分的要求提供证明材料； </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3.投标人不按此要求填写此项内容或未按要求提供业绩证明材料将视为无业绩，不纳入评分范围。</w:t>
      </w:r>
    </w:p>
    <w:p>
      <w:pPr>
        <w:pStyle w:val="18"/>
        <w:spacing w:line="340" w:lineRule="exact"/>
        <w:rPr>
          <w:rFonts w:ascii="新宋体" w:hAnsi="新宋体" w:eastAsia="新宋体" w:cs="新宋体"/>
          <w:color w:val="auto"/>
          <w:sz w:val="22"/>
          <w:highlight w:val="none"/>
        </w:rPr>
      </w:pP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投标人法定代表人（法定负责人）或授权代表（签字或盖章）：</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日期：      年    月    日</w:t>
      </w:r>
    </w:p>
    <w:p>
      <w:pPr>
        <w:spacing w:line="360" w:lineRule="auto"/>
        <w:jc w:val="left"/>
        <w:rPr>
          <w:rFonts w:ascii="新宋体" w:hAnsi="新宋体" w:eastAsia="新宋体" w:cs="新宋体"/>
          <w:color w:val="auto"/>
          <w:sz w:val="22"/>
          <w:szCs w:val="22"/>
          <w:highlight w:val="none"/>
        </w:rPr>
      </w:pPr>
      <w:r>
        <w:rPr>
          <w:rFonts w:hint="eastAsia" w:ascii="新宋体" w:hAnsi="新宋体" w:eastAsia="新宋体" w:cs="新宋体"/>
          <w:b/>
          <w:color w:val="auto"/>
          <w:sz w:val="28"/>
          <w:highlight w:val="none"/>
        </w:rPr>
        <w:br w:type="page"/>
      </w:r>
      <w:bookmarkStart w:id="223" w:name="_Toc522645684"/>
      <w:bookmarkStart w:id="224" w:name="_Toc518895422"/>
    </w:p>
    <w:bookmarkEnd w:id="223"/>
    <w:bookmarkEnd w:id="224"/>
    <w:p>
      <w:pPr>
        <w:pStyle w:val="4"/>
        <w:numPr>
          <w:ilvl w:val="0"/>
          <w:numId w:val="30"/>
        </w:numPr>
        <w:overflowPunct w:val="0"/>
        <w:spacing w:line="360" w:lineRule="auto"/>
        <w:rPr>
          <w:rFonts w:ascii="新宋体" w:hAnsi="新宋体" w:eastAsia="新宋体" w:cs="新宋体"/>
          <w:color w:val="auto"/>
          <w:sz w:val="36"/>
          <w:szCs w:val="36"/>
          <w:highlight w:val="none"/>
        </w:rPr>
      </w:pPr>
      <w:bookmarkStart w:id="225" w:name="_Toc3799557"/>
      <w:r>
        <w:rPr>
          <w:rFonts w:hint="eastAsia" w:ascii="新宋体" w:hAnsi="新宋体" w:eastAsia="新宋体" w:cs="新宋体"/>
          <w:color w:val="auto"/>
          <w:sz w:val="36"/>
          <w:szCs w:val="36"/>
          <w:highlight w:val="none"/>
        </w:rPr>
        <w:t>采购内容及要求</w:t>
      </w:r>
      <w:bookmarkEnd w:id="225"/>
    </w:p>
    <w:p>
      <w:pPr>
        <w:spacing w:line="360" w:lineRule="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一、概述</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项目为花卉苗木采购，投标供应商应对采购范围内的所有内容进行投标，须完成花卉苗木掘苗、包装、运输至目的地，直至验收合格移交。花卉苗木质量达不到采购人的要求，则无条件退货，在此过程中发生的一切费用（包括辅助材料）均由中标供应商自行承担。</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2、本次采购设一个标段，投标供应商必须对采购范围内的全部采购内容进行投标，不允许只对其中部分内容进行投标，否则投标将被否决，谢绝联合投标。</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3、投标供应商应对所供花卉苗木性能、质量负责。采购的花卉苗木所涉及的产品标准、规范，验收标准等，应符合国家有关条例及标准的规定。</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4、投标供应商所投花卉苗木的名称、规格、数量、产地、质保期等应在投标文件中明确，对采购文件的技术条款及要求应予以实质性响应，对应采购要求列表一一对应说明，如有偏离应在偏离表中注明。</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5、本次采购的花卉苗木应适应温州市常年的气候条件。</w:t>
      </w:r>
    </w:p>
    <w:p>
      <w:pPr>
        <w:pStyle w:val="101"/>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二、采购清单</w:t>
      </w:r>
    </w:p>
    <w:tbl>
      <w:tblPr>
        <w:tblStyle w:val="30"/>
        <w:tblW w:w="9757" w:type="dxa"/>
        <w:tblInd w:w="-5" w:type="dxa"/>
        <w:tblLayout w:type="fixed"/>
        <w:tblCellMar>
          <w:top w:w="0" w:type="dxa"/>
          <w:left w:w="108" w:type="dxa"/>
          <w:bottom w:w="0" w:type="dxa"/>
          <w:right w:w="108" w:type="dxa"/>
        </w:tblCellMar>
      </w:tblPr>
      <w:tblGrid>
        <w:gridCol w:w="709"/>
        <w:gridCol w:w="2410"/>
        <w:gridCol w:w="2550"/>
        <w:gridCol w:w="2500"/>
        <w:gridCol w:w="1588"/>
      </w:tblGrid>
      <w:tr>
        <w:tblPrEx>
          <w:tblCellMar>
            <w:top w:w="0" w:type="dxa"/>
            <w:left w:w="108" w:type="dxa"/>
            <w:bottom w:w="0" w:type="dxa"/>
            <w:right w:w="108" w:type="dxa"/>
          </w:tblCellMar>
        </w:tblPrEx>
        <w:trPr>
          <w:trHeight w:val="454"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bookmarkStart w:id="226" w:name="RANGE!A1"/>
            <w:r>
              <w:rPr>
                <w:rFonts w:hint="eastAsia" w:ascii="新宋体" w:hAnsi="新宋体" w:eastAsia="新宋体" w:cs="新宋体"/>
                <w:color w:val="auto"/>
                <w:kern w:val="0"/>
                <w:sz w:val="22"/>
                <w:szCs w:val="22"/>
                <w:highlight w:val="none"/>
              </w:rPr>
              <w:t>序号</w:t>
            </w:r>
            <w:bookmarkEnd w:id="226"/>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项目内容</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规格</w:t>
            </w:r>
          </w:p>
        </w:tc>
        <w:tc>
          <w:tcPr>
            <w:tcW w:w="2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综合单价最高限价(元)</w:t>
            </w:r>
          </w:p>
        </w:tc>
        <w:tc>
          <w:tcPr>
            <w:tcW w:w="15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备注</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石蒜（种球）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5.07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矮牵牛</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雏菊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鸡冠花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角堇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孔雀草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千日红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三色堇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四季秋海棠</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太阳花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洋凤仙</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一串红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羽衣甘蓝</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八角金盘</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紫罗兰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上海角堇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报春花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140.83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美丽月见草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欧石竹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火炬花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鼠尾草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水果兰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随意草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金鱼草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松红梅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金盏菊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紫娇花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金雀花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欧石竹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金叶六道木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郁金香（种球）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大滨菊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鸢尾</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德国鸢尾</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金边吊兰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三角梅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风信子（种球）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6.07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花叶美人蕉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金叶石菖蒲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睡莲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荷花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水仙花（种球）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五色梅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细叶针茅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红王子锦带</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吴风草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绵毛水苏</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雪茄花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非洲万寿菊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大花金鸡菊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4.98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藤本矮牵牛</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香彩雀</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一叶兰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矮蒲苇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风信子（成品）</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瓜叶菊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花叶芒</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花叶良姜</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万紫千红球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260</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白毛鹃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水仙花（成品）</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绿色光辉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16.03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春之舞</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荷兰菊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姬小菊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岭南杜鹃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粉面含春</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蓝雪花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马齿笕</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南希玛丽</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玛格丽特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4.55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西码</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辉煌</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红双喜</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山菅兰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9.75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小丽花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11.48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小五星</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五彩夏鹃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薰衣草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世纪曙光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朱顶红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吊兰牵牛</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白常春</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比利时杜鹃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昆仑玉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天竺葵</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44.2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金叶假连翘</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7.58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羊踯躅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美女樱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龟甲冬青</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70*70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五色梅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毛鹃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五星花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花叶络石</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落新妇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鹅掌柴</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清香木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翠芦莉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花叶蔓</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肾蕨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石蒜</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洋凤仙</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金边阔叶麦冬</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长春花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银纹沿阶草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栀子花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花叶大吴风草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绒叶肖竹芋</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大花翠芦莉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天门冬</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花叶艳山姜</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甜心玉簪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花叶蒲苇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郁金香（成品）</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厚皮香</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花叶鸭掌木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红背桂</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金山绣线菊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金叶胡颓子球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342.33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龙船花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45*40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水果兰球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184.17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春羽</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19.07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五彩石竹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巴西野牡丹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巴西野牡丹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紫叶狼尾草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金叶苔草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每丛8个芽以上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广东牡丹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16.9</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蓝羊茅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每丛8个芽以上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吉利红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穗花牡荆</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花叶锦带</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金叶矾根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千年木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百子莲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桑托斯马鞭草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澳洲朱焦</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初霜玉簪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变叶木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20.37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蓝色鼠耳玉簪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八宝景天</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芒草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萼距花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仙客来</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多花筋骨草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黄金络石</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小叶蚊母</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绣球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春芋</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小木槿</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大叶栀子球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108.33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红叶朱蕉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红叶石楠球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106.17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无尽夏</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含笑球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149.5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火焰狼尾草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粉黛乱子草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香水月季</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红绿草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128株/穴盘</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穴盘</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美国凌霄</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D6</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绿萝</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花叶蒲苇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75*60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火焰卫矛球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60*60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蔓花生</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天堂鸟</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盆</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紫叶酢酱草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5.42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铁线莲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羽绒狼尾草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贵族玉簪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蓝色天使玉簪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金关锦玉簪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自由玉簪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13.87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蓝梦狼尾草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日本大花花菖蒲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路易斯安娜</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花叶菖蒲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每丛10个芽以上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三七景天</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络石藤</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阔叶麦冬</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矾根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粉花绣线菊</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H30P30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16.03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吊竹梅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棣棠</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墨西哥鼠尾草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千叶兰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H10P25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大花六道木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H20P30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冬青球棒棒糖</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320.67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金冠女贞球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美植袋50*40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彩叶杞柳</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H80P40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75.83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澳洲狐尾</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H30P20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夏鹃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5加仑</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184.17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东洋杜鹃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H0.9m</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川滇蜡树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CLT30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923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安酷杜鹃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3加仑</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892.67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郁香忍冬</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H100P60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225.33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彩叶杞柳棒棒糖</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364</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青枫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D6cm</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H70P50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93.17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喷雪花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造型杜鹃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P150，h50-60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346.67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造型红花檵木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P180 H150-200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457.17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假连翘</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9.1</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兔尾草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蜘蛛兰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球茎10cm</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熊猫堇</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粉花溲疏</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多花素馨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1加仑</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木槿（蓝莓冰沙）</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木槿（薰衣草雪纺）</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木槿（粉色雪纺）</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木槿（日之丸）</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24.27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姬十二筋骨草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20*20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小蜡球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150*150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小蜡球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145.17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小叶栀子</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2.73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美人梅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1031.33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芫花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福禄紫枫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h300cm</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1971.67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金钰枫香</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h300cm</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红羽毛枫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888.33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束花茶花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693.33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红千层</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520</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忽地笑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换锦花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露丝金露</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圆锥绣球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32.93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小兔子狼尾草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毛冠草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金冠女贞球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153.83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完美冬青球塔型</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H150P45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728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冬青先令球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801.67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9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柳叶马鞭草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H45P30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7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金叶莸</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H35P30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18.63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2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溪荪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H45P30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玉簪</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H20P25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银姬小蜡球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亮晶女贞棒棒糖</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 150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316.33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金姬水蜡球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6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松红梅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H80P50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90.13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木槿棒棒糖</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H120P40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390</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3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梅花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D8</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381.33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蝴蝶</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地径（cm):3-4高度（cm):160-180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金贵</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地径（cm):9-10高度（cm):250以上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金贵</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地径（cm):12-13高度（cm):250以上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2990</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橙之梦</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地径（cm):2-3高度（cm):80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290.33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橙之梦</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地径（cm):3-4高度（cm):80-100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茶梅</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67.17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1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红花檵木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50*50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41.17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0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红花檵木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80*80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95.33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火焰南天竹</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25.13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绯红皇后羽毛枫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地径（cm):7-8高度（cm):200-250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3328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吉祥草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2.82</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千染</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地径（cm):6-7高度（cm):150-200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2383.33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千染</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地径（cm):10高度（cm):300-350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4203.33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兰花三七</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血红</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地径（cm):6-7高度（cm):200-250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2296.67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马尼拉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19.07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金边黄杨</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3.47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地径（cm):4-5高度（cm):200-250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229.67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地径（cm):6-7高度（cm):200-250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472.33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红枫</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地径（cm):10-11高度（cm):250-300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1473.33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凤凰</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地径（cm):5-6高度（cm):250-300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472.33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275</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珊瑚树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12.57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276</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珊瑚树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H180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20.8</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277</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书带草</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每丛10芽以上</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278</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小丑火棘</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40*30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35.53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279</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D15</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2643.33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D18</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3033.33</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染井吉野樱</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D22</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4030</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紫叶小檗</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283</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千层金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H50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26</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r>
        <w:tblPrEx>
          <w:tblCellMar>
            <w:top w:w="0" w:type="dxa"/>
            <w:left w:w="108" w:type="dxa"/>
            <w:bottom w:w="0" w:type="dxa"/>
            <w:right w:w="108" w:type="dxa"/>
          </w:tblCellMar>
        </w:tblPrEx>
        <w:trPr>
          <w:trHeight w:val="4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284</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千层金</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160*100</w:t>
            </w:r>
          </w:p>
        </w:tc>
        <w:tc>
          <w:tcPr>
            <w:tcW w:w="2500" w:type="dxa"/>
            <w:tcBorders>
              <w:top w:val="nil"/>
              <w:left w:val="single" w:color="auto" w:sz="4" w:space="0"/>
              <w:bottom w:val="single" w:color="auto" w:sz="4" w:space="0"/>
              <w:right w:val="single" w:color="auto" w:sz="4" w:space="0"/>
            </w:tcBorders>
            <w:shd w:val="clear" w:color="auto" w:fill="auto"/>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281.67</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w:t>
            </w:r>
          </w:p>
        </w:tc>
      </w:tr>
    </w:tbl>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注：1）具体采购数量以采购人全年实际需求量为准，由此产生的风险由投标供应商自行考虑并承担。</w:t>
      </w:r>
    </w:p>
    <w:p>
      <w:pPr>
        <w:overflowPunct w:val="0"/>
        <w:spacing w:line="440" w:lineRule="exact"/>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u w:val="single"/>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ind w:firstLine="480"/>
        <w:rPr>
          <w:color w:val="auto"/>
          <w:highlight w:val="none"/>
        </w:rPr>
      </w:pPr>
    </w:p>
    <w:p>
      <w:pPr>
        <w:adjustRightInd w:val="0"/>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三、苗木质量标准</w:t>
      </w:r>
    </w:p>
    <w:p>
      <w:pPr>
        <w:spacing w:line="360" w:lineRule="auto"/>
        <w:ind w:firstLine="440" w:firstLineChars="200"/>
        <w:rPr>
          <w:rFonts w:ascii="新宋体" w:hAnsi="新宋体" w:eastAsia="新宋体" w:cs="新宋体"/>
          <w:snapToGrid w:val="0"/>
          <w:color w:val="auto"/>
          <w:kern w:val="0"/>
          <w:sz w:val="22"/>
          <w:szCs w:val="22"/>
          <w:highlight w:val="none"/>
        </w:rPr>
      </w:pPr>
      <w:r>
        <w:rPr>
          <w:rFonts w:hint="eastAsia" w:ascii="新宋体" w:hAnsi="新宋体" w:eastAsia="新宋体" w:cs="新宋体"/>
          <w:snapToGrid w:val="0"/>
          <w:color w:val="auto"/>
          <w:kern w:val="0"/>
          <w:sz w:val="22"/>
          <w:szCs w:val="22"/>
          <w:highlight w:val="none"/>
        </w:rPr>
        <w:t xml:space="preserve">1、所供的花卉苗木必须符合采购清单中的规格、数量要求，植物生长健壮、饱满、无病枝叶、无残枝。 </w:t>
      </w:r>
    </w:p>
    <w:p>
      <w:pPr>
        <w:spacing w:line="360" w:lineRule="auto"/>
        <w:ind w:firstLine="440" w:firstLineChars="200"/>
        <w:rPr>
          <w:rFonts w:ascii="新宋体" w:hAnsi="新宋体" w:eastAsia="新宋体" w:cs="新宋体"/>
          <w:snapToGrid w:val="0"/>
          <w:color w:val="auto"/>
          <w:kern w:val="0"/>
          <w:sz w:val="22"/>
          <w:szCs w:val="22"/>
          <w:highlight w:val="none"/>
        </w:rPr>
      </w:pPr>
      <w:r>
        <w:rPr>
          <w:rFonts w:hint="eastAsia" w:ascii="新宋体" w:hAnsi="新宋体" w:eastAsia="新宋体" w:cs="新宋体"/>
          <w:snapToGrid w:val="0"/>
          <w:color w:val="auto"/>
          <w:kern w:val="0"/>
          <w:sz w:val="22"/>
          <w:szCs w:val="22"/>
          <w:highlight w:val="none"/>
        </w:rPr>
        <w:t>2、中标供应商提供的乔木树干通直，须带泥球，泥球按规范要求定大小且结实不松散，树冠四面匀称；到达采购人交货现场的乔木需保证树皮完好不破损，生长健壮，无病虫害，质量和规格符合规范要求。</w:t>
      </w:r>
    </w:p>
    <w:p>
      <w:pPr>
        <w:spacing w:line="360" w:lineRule="auto"/>
        <w:ind w:firstLine="440" w:firstLineChars="200"/>
        <w:rPr>
          <w:rFonts w:ascii="新宋体" w:hAnsi="新宋体" w:eastAsia="新宋体" w:cs="新宋体"/>
          <w:snapToGrid w:val="0"/>
          <w:color w:val="auto"/>
          <w:kern w:val="0"/>
          <w:sz w:val="22"/>
          <w:szCs w:val="22"/>
          <w:highlight w:val="none"/>
        </w:rPr>
      </w:pPr>
      <w:r>
        <w:rPr>
          <w:rFonts w:hint="eastAsia" w:ascii="新宋体" w:hAnsi="新宋体" w:eastAsia="新宋体" w:cs="新宋体"/>
          <w:snapToGrid w:val="0"/>
          <w:color w:val="auto"/>
          <w:kern w:val="0"/>
          <w:sz w:val="22"/>
          <w:szCs w:val="22"/>
          <w:highlight w:val="none"/>
        </w:rPr>
        <w:t>3、灌木泥球紧实不松散，蓬型大小符合采购人要求，并且保证同一批灌木冠型匀称。</w:t>
      </w:r>
    </w:p>
    <w:p>
      <w:pPr>
        <w:spacing w:line="360" w:lineRule="auto"/>
        <w:ind w:firstLine="440" w:firstLineChars="200"/>
        <w:rPr>
          <w:rFonts w:ascii="新宋体" w:hAnsi="新宋体" w:eastAsia="新宋体" w:cs="新宋体"/>
          <w:snapToGrid w:val="0"/>
          <w:color w:val="auto"/>
          <w:kern w:val="0"/>
          <w:sz w:val="22"/>
          <w:szCs w:val="22"/>
          <w:highlight w:val="none"/>
        </w:rPr>
      </w:pPr>
      <w:r>
        <w:rPr>
          <w:rFonts w:hint="eastAsia" w:ascii="新宋体" w:hAnsi="新宋体" w:eastAsia="新宋体" w:cs="新宋体"/>
          <w:snapToGrid w:val="0"/>
          <w:color w:val="auto"/>
          <w:kern w:val="0"/>
          <w:sz w:val="22"/>
          <w:szCs w:val="22"/>
          <w:highlight w:val="none"/>
        </w:rPr>
        <w:t>4、所有花卉苗木移植时应保持根系完整和根系湿润；起挖苗木根系切口要平滑，根系无劈裂、无拉断、无干枯现象，裸根花卉苗木保留主根、根幅必须达到规定标准且必须保留侧根和须根。</w:t>
      </w:r>
    </w:p>
    <w:p>
      <w:pPr>
        <w:spacing w:line="360" w:lineRule="auto"/>
        <w:ind w:firstLine="440" w:firstLineChars="200"/>
        <w:rPr>
          <w:rFonts w:ascii="新宋体" w:hAnsi="新宋体" w:eastAsia="新宋体" w:cs="新宋体"/>
          <w:snapToGrid w:val="0"/>
          <w:color w:val="auto"/>
          <w:kern w:val="0"/>
          <w:sz w:val="22"/>
          <w:szCs w:val="22"/>
          <w:highlight w:val="none"/>
        </w:rPr>
      </w:pPr>
      <w:r>
        <w:rPr>
          <w:rFonts w:hint="eastAsia" w:ascii="新宋体" w:hAnsi="新宋体" w:eastAsia="新宋体" w:cs="新宋体"/>
          <w:snapToGrid w:val="0"/>
          <w:color w:val="auto"/>
          <w:kern w:val="0"/>
          <w:sz w:val="22"/>
          <w:szCs w:val="22"/>
          <w:highlight w:val="none"/>
        </w:rPr>
        <w:t>5、供应的花卉苗木规格除清单内主控规格外，未标明的规格如胸径、地径、高度、冠幅、土球、密实度、树形等其他质量控制要求需按照采购人现场种植要求配合提供。</w:t>
      </w:r>
    </w:p>
    <w:p>
      <w:pPr>
        <w:pStyle w:val="101"/>
        <w:spacing w:line="360" w:lineRule="auto"/>
        <w:ind w:firstLine="440" w:firstLineChars="200"/>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6、在种植季节内中标供应商提供的苗木成活率要求在95%（含）以上，成活率在95%以下部分的一切补种费用由中标供应商承担。</w:t>
      </w:r>
    </w:p>
    <w:p>
      <w:pPr>
        <w:pStyle w:val="101"/>
        <w:spacing w:line="360" w:lineRule="auto"/>
        <w:ind w:firstLine="440" w:firstLineChars="200"/>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7、花卉</w:t>
      </w:r>
      <w:r>
        <w:rPr>
          <w:rFonts w:hint="eastAsia" w:ascii="新宋体" w:hAnsi="新宋体" w:eastAsia="新宋体" w:cs="新宋体"/>
          <w:color w:val="auto"/>
          <w:sz w:val="22"/>
          <w:szCs w:val="22"/>
          <w:highlight w:val="none"/>
        </w:rPr>
        <w:t>苗木的包装要求应符合行业的一般标准。</w:t>
      </w:r>
    </w:p>
    <w:p>
      <w:pPr>
        <w:pStyle w:val="101"/>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四、其他要求</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snapToGrid w:val="0"/>
          <w:color w:val="auto"/>
          <w:sz w:val="22"/>
          <w:szCs w:val="22"/>
          <w:highlight w:val="none"/>
        </w:rPr>
        <w:t>提供的所有花卉苗木为合法货物，须有合法的供货来源，中标供应商须在签订合同前提供检疫部门的检疫证书，若不提供，采购人有权拒签合同。</w:t>
      </w:r>
    </w:p>
    <w:p>
      <w:pPr>
        <w:pStyle w:val="101"/>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2、在保证</w:t>
      </w:r>
      <w:r>
        <w:rPr>
          <w:rFonts w:hint="eastAsia" w:ascii="新宋体" w:hAnsi="新宋体" w:eastAsia="新宋体" w:cs="新宋体"/>
          <w:snapToGrid w:val="0"/>
          <w:color w:val="auto"/>
          <w:sz w:val="22"/>
          <w:szCs w:val="22"/>
          <w:highlight w:val="none"/>
        </w:rPr>
        <w:t>花卉</w:t>
      </w:r>
      <w:r>
        <w:rPr>
          <w:rFonts w:hint="eastAsia" w:ascii="新宋体" w:hAnsi="新宋体" w:eastAsia="新宋体" w:cs="新宋体"/>
          <w:color w:val="auto"/>
          <w:sz w:val="22"/>
          <w:szCs w:val="22"/>
          <w:highlight w:val="none"/>
        </w:rPr>
        <w:t>苗木能移植成活和满足交通运输的前提下，应保留</w:t>
      </w:r>
      <w:r>
        <w:rPr>
          <w:rFonts w:hint="eastAsia" w:ascii="新宋体" w:hAnsi="新宋体" w:eastAsia="新宋体" w:cs="新宋体"/>
          <w:snapToGrid w:val="0"/>
          <w:color w:val="auto"/>
          <w:sz w:val="22"/>
          <w:szCs w:val="22"/>
          <w:highlight w:val="none"/>
        </w:rPr>
        <w:t>花卉</w:t>
      </w:r>
      <w:r>
        <w:rPr>
          <w:rFonts w:hint="eastAsia" w:ascii="新宋体" w:hAnsi="新宋体" w:eastAsia="新宋体" w:cs="新宋体"/>
          <w:color w:val="auto"/>
          <w:sz w:val="22"/>
          <w:szCs w:val="22"/>
          <w:highlight w:val="none"/>
        </w:rPr>
        <w:t>苗木原有的冠幅。</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次采购花卉苗木数量以采购人全年实际需求量为准，供货须按照采购人种植要求进行分批分量供应，在接到采购人书面通知三日历天之内按通知中规定的花卉苗木品种数量要求供应。待中标供应商将苗木运抵指定种植现场并落地就位后，由采购人组织验收。验收不合格苗木由中标供应商无条件负责调换，调换产生的所有费用完全由中标供应商承担。所有苗木运抵现场的日期为交货日期。</w:t>
      </w:r>
    </w:p>
    <w:p>
      <w:pPr>
        <w:rPr>
          <w:rFonts w:ascii="新宋体" w:hAnsi="新宋体" w:eastAsia="新宋体" w:cs="新宋体"/>
          <w:color w:val="auto"/>
          <w:highlight w:val="none"/>
        </w:rPr>
      </w:pPr>
      <w:r>
        <w:rPr>
          <w:rFonts w:hint="eastAsia" w:ascii="新宋体" w:hAnsi="新宋体" w:eastAsia="新宋体" w:cs="新宋体"/>
          <w:color w:val="auto"/>
          <w:highlight w:val="none"/>
        </w:rPr>
        <w:br w:type="page"/>
      </w:r>
    </w:p>
    <w:p>
      <w:pPr>
        <w:rPr>
          <w:rFonts w:ascii="新宋体" w:hAnsi="新宋体" w:eastAsia="新宋体" w:cs="新宋体"/>
          <w:color w:val="auto"/>
          <w:highlight w:val="none"/>
        </w:rPr>
      </w:pPr>
    </w:p>
    <w:p>
      <w:pPr>
        <w:ind w:firstLine="2530" w:firstLineChars="700"/>
        <w:rPr>
          <w:rFonts w:ascii="新宋体" w:hAnsi="新宋体" w:eastAsia="新宋体" w:cs="新宋体"/>
          <w:b/>
          <w:bCs/>
          <w:color w:val="auto"/>
          <w:sz w:val="36"/>
          <w:szCs w:val="36"/>
          <w:highlight w:val="none"/>
        </w:rPr>
      </w:pPr>
      <w:bookmarkStart w:id="227" w:name="_Toc522645685"/>
      <w:bookmarkStart w:id="228" w:name="_Toc3799558"/>
      <w:r>
        <w:rPr>
          <w:rFonts w:hint="eastAsia" w:ascii="新宋体" w:hAnsi="新宋体" w:eastAsia="新宋体" w:cs="新宋体"/>
          <w:b/>
          <w:bCs/>
          <w:color w:val="auto"/>
          <w:sz w:val="36"/>
          <w:szCs w:val="36"/>
          <w:highlight w:val="none"/>
        </w:rPr>
        <w:t>第五部分   评标原则及方法</w:t>
      </w:r>
      <w:bookmarkEnd w:id="196"/>
      <w:bookmarkEnd w:id="197"/>
      <w:bookmarkEnd w:id="227"/>
      <w:bookmarkEnd w:id="228"/>
    </w:p>
    <w:p>
      <w:pPr>
        <w:pStyle w:val="13"/>
        <w:overflowPunct w:val="0"/>
        <w:spacing w:before="120" w:beforeLines="50" w:afterLines="50" w:line="360" w:lineRule="auto"/>
        <w:rPr>
          <w:rFonts w:ascii="新宋体" w:hAnsi="新宋体" w:eastAsia="新宋体" w:cs="新宋体"/>
          <w:b/>
          <w:color w:val="auto"/>
          <w:sz w:val="22"/>
          <w:szCs w:val="22"/>
          <w:highlight w:val="none"/>
        </w:rPr>
      </w:pPr>
      <w:bookmarkStart w:id="229" w:name="_Toc221356898"/>
      <w:bookmarkStart w:id="230" w:name="_Toc221356961"/>
      <w:r>
        <w:rPr>
          <w:rFonts w:hint="eastAsia" w:ascii="新宋体" w:hAnsi="新宋体" w:eastAsia="新宋体" w:cs="新宋体"/>
          <w:b/>
          <w:color w:val="auto"/>
          <w:sz w:val="22"/>
          <w:szCs w:val="22"/>
          <w:highlight w:val="none"/>
        </w:rPr>
        <w:t>一、总  则</w:t>
      </w:r>
      <w:bookmarkEnd w:id="229"/>
      <w:bookmarkEnd w:id="230"/>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pStyle w:val="13"/>
        <w:overflowPunct w:val="0"/>
        <w:spacing w:before="120" w:beforeLines="50" w:afterLines="50" w:line="360" w:lineRule="auto"/>
        <w:rPr>
          <w:rFonts w:ascii="新宋体" w:hAnsi="新宋体" w:eastAsia="新宋体" w:cs="新宋体"/>
          <w:b/>
          <w:color w:val="auto"/>
          <w:sz w:val="22"/>
          <w:szCs w:val="22"/>
          <w:highlight w:val="none"/>
        </w:rPr>
      </w:pPr>
      <w:bookmarkStart w:id="231" w:name="_Toc221356962"/>
      <w:bookmarkStart w:id="232" w:name="_Toc221356899"/>
      <w:r>
        <w:rPr>
          <w:rFonts w:hint="eastAsia" w:ascii="新宋体" w:hAnsi="新宋体" w:eastAsia="新宋体" w:cs="新宋体"/>
          <w:b/>
          <w:color w:val="auto"/>
          <w:sz w:val="22"/>
          <w:szCs w:val="22"/>
          <w:highlight w:val="none"/>
        </w:rPr>
        <w:t>二、评标组织</w:t>
      </w:r>
      <w:bookmarkEnd w:id="231"/>
      <w:bookmarkEnd w:id="232"/>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评标工作由采购人依法组建的评标委员会负责，评标全过程由有关部门指导监督。</w:t>
      </w:r>
    </w:p>
    <w:p>
      <w:pPr>
        <w:pStyle w:val="13"/>
        <w:overflowPunct w:val="0"/>
        <w:spacing w:before="120" w:beforeLines="50" w:afterLines="50" w:line="360" w:lineRule="auto"/>
        <w:rPr>
          <w:rFonts w:ascii="新宋体" w:hAnsi="新宋体" w:eastAsia="新宋体" w:cs="新宋体"/>
          <w:b/>
          <w:color w:val="auto"/>
          <w:sz w:val="22"/>
          <w:szCs w:val="22"/>
          <w:highlight w:val="none"/>
        </w:rPr>
      </w:pPr>
      <w:bookmarkStart w:id="233" w:name="_Toc221356963"/>
      <w:bookmarkStart w:id="234" w:name="_Toc221356900"/>
      <w:r>
        <w:rPr>
          <w:rFonts w:hint="eastAsia" w:ascii="新宋体" w:hAnsi="新宋体" w:eastAsia="新宋体" w:cs="新宋体"/>
          <w:b/>
          <w:color w:val="auto"/>
          <w:sz w:val="22"/>
          <w:szCs w:val="22"/>
          <w:highlight w:val="none"/>
        </w:rPr>
        <w:t>三、评标程序</w:t>
      </w:r>
      <w:bookmarkEnd w:id="233"/>
      <w:bookmarkEnd w:id="234"/>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1．评标委员会对各投标人的投标资格进行审查；然后评标委员会对合格投标人的技术资信标进行评审；技术资信标评审结束后对商务（报价）标评审，根据综合评审结果，提交评审报告。</w:t>
      </w:r>
    </w:p>
    <w:p>
      <w:pPr>
        <w:pStyle w:val="13"/>
        <w:overflowPunct w:val="0"/>
        <w:spacing w:before="120" w:beforeLines="50" w:afterLines="50" w:line="360" w:lineRule="auto"/>
        <w:rPr>
          <w:rFonts w:ascii="新宋体" w:hAnsi="新宋体" w:eastAsia="新宋体" w:cs="新宋体"/>
          <w:b/>
          <w:color w:val="auto"/>
          <w:sz w:val="22"/>
          <w:szCs w:val="22"/>
          <w:highlight w:val="none"/>
        </w:rPr>
      </w:pPr>
      <w:bookmarkStart w:id="235" w:name="_Toc221356901"/>
      <w:bookmarkStart w:id="236" w:name="_Toc221356964"/>
      <w:r>
        <w:rPr>
          <w:rFonts w:hint="eastAsia" w:ascii="新宋体" w:hAnsi="新宋体" w:eastAsia="新宋体" w:cs="新宋体"/>
          <w:b/>
          <w:color w:val="auto"/>
          <w:sz w:val="22"/>
          <w:szCs w:val="22"/>
          <w:highlight w:val="none"/>
        </w:rPr>
        <w:t>四、评标办法</w:t>
      </w:r>
      <w:bookmarkEnd w:id="235"/>
      <w:bookmarkEnd w:id="236"/>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次采购采用百分制综合评分法，即投标人最大限度地满足采购文件实质性要求的基础上，按照采购文件的各项因素进行综合评审，总分设定为100分，其中技术资信50分（技术资信权值50%），商务（报价）50分（价格权值50%）,各投标人的综合得分为技术资信分+商务（报价）分。</w:t>
      </w:r>
    </w:p>
    <w:p>
      <w:pPr>
        <w:pStyle w:val="13"/>
        <w:overflowPunct w:val="0"/>
        <w:spacing w:before="120" w:beforeLines="50" w:afterLines="50" w:line="360" w:lineRule="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五、评分细则</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技术资信部分的评定（50分）</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评委成员按下列评分项目进行评定，每人一张评分计算表，由评标委员会成员各自评定打分并记实名。各评标委员会成员对各投标人的各项评分内容进行评审、独立打分，所有评委成员的评分算术平均值为该投标人技术资信部分的最终得分（四舍五入，保留小数点后二位）。</w:t>
      </w:r>
    </w:p>
    <w:tbl>
      <w:tblPr>
        <w:tblStyle w:val="30"/>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75"/>
        <w:gridCol w:w="762"/>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0"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575"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评审项目</w:t>
            </w:r>
          </w:p>
        </w:tc>
        <w:tc>
          <w:tcPr>
            <w:tcW w:w="762"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分值</w:t>
            </w:r>
          </w:p>
        </w:tc>
        <w:tc>
          <w:tcPr>
            <w:tcW w:w="6317" w:type="dxa"/>
            <w:vAlign w:val="center"/>
          </w:tcPr>
          <w:p>
            <w:pPr>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restar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575" w:type="dxa"/>
            <w:vMerge w:val="restar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投标供应商综合实力</w:t>
            </w:r>
          </w:p>
        </w:tc>
        <w:tc>
          <w:tcPr>
            <w:tcW w:w="762" w:type="dxa"/>
            <w:vAlign w:val="center"/>
          </w:tcPr>
          <w:p>
            <w:pPr>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6317" w:type="dxa"/>
            <w:vAlign w:val="center"/>
          </w:tcPr>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根据投标供应商的综合实力、市场商业信誉、获得的奖励等情况进行打分（须提供相关证明材料）。</w:t>
            </w:r>
          </w:p>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 2-1.1；        B档 1-0.6；         C档 0.5-0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pStyle w:val="153"/>
              <w:snapToGrid w:val="0"/>
              <w:spacing w:line="240" w:lineRule="auto"/>
              <w:ind w:firstLine="0"/>
              <w:jc w:val="center"/>
              <w:rPr>
                <w:rFonts w:ascii="新宋体" w:hAnsi="新宋体" w:eastAsia="新宋体" w:cs="新宋体"/>
                <w:color w:val="auto"/>
                <w:sz w:val="22"/>
                <w:szCs w:val="22"/>
                <w:highlight w:val="none"/>
              </w:rPr>
            </w:pPr>
          </w:p>
        </w:tc>
        <w:tc>
          <w:tcPr>
            <w:tcW w:w="1575" w:type="dxa"/>
            <w:vMerge w:val="continue"/>
            <w:vAlign w:val="center"/>
          </w:tcPr>
          <w:p>
            <w:pPr>
              <w:pStyle w:val="153"/>
              <w:snapToGrid w:val="0"/>
              <w:spacing w:line="240" w:lineRule="auto"/>
              <w:ind w:firstLine="0"/>
              <w:jc w:val="center"/>
              <w:rPr>
                <w:rFonts w:ascii="新宋体" w:hAnsi="新宋体" w:eastAsia="新宋体" w:cs="新宋体"/>
                <w:color w:val="auto"/>
                <w:sz w:val="22"/>
                <w:szCs w:val="22"/>
                <w:highlight w:val="none"/>
              </w:rPr>
            </w:pPr>
          </w:p>
        </w:tc>
        <w:tc>
          <w:tcPr>
            <w:tcW w:w="762" w:type="dxa"/>
            <w:vAlign w:val="center"/>
          </w:tcPr>
          <w:p>
            <w:pPr>
              <w:pStyle w:val="153"/>
              <w:snapToGrid w:val="0"/>
              <w:spacing w:line="240" w:lineRule="auto"/>
              <w:ind w:firstLine="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6317" w:type="dxa"/>
            <w:vAlign w:val="center"/>
          </w:tcPr>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1、具有IS09001质量管理体系认证的得0.5分，认证证书内容含有园艺新品种研发、销售、种植等相关内容的加0.5分，最多得1分。</w:t>
            </w:r>
          </w:p>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（提供证书复印件加盖公章，且在有效期内）。</w:t>
            </w:r>
          </w:p>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2、属于林业保障性苗圃的得1分（提供林业主管部门的认定材料复印件加盖公章）。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50" w:type="dxa"/>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575" w:type="dxa"/>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类似项目业绩</w:t>
            </w:r>
          </w:p>
        </w:tc>
        <w:tc>
          <w:tcPr>
            <w:tcW w:w="762" w:type="dxa"/>
            <w:vAlign w:val="center"/>
          </w:tcPr>
          <w:p>
            <w:pPr>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6317" w:type="dxa"/>
            <w:vAlign w:val="center"/>
          </w:tcPr>
          <w:p>
            <w:pPr>
              <w:pStyle w:val="153"/>
              <w:snapToGrid w:val="0"/>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投标供应商2019年1月1日以来完成的类似本次采购内容中</w:t>
            </w:r>
            <w:r>
              <w:rPr>
                <w:rFonts w:hint="eastAsia" w:ascii="新宋体" w:hAnsi="新宋体" w:eastAsia="新宋体" w:cs="新宋体"/>
                <w:color w:val="auto"/>
                <w:sz w:val="22"/>
                <w:szCs w:val="22"/>
                <w:highlight w:val="none"/>
                <w:u w:val="dotted"/>
              </w:rPr>
              <w:t>花卉苗木</w:t>
            </w:r>
            <w:r>
              <w:rPr>
                <w:rFonts w:hint="eastAsia" w:ascii="新宋体" w:hAnsi="新宋体" w:eastAsia="新宋体" w:cs="新宋体"/>
                <w:color w:val="auto"/>
                <w:sz w:val="22"/>
                <w:szCs w:val="22"/>
                <w:highlight w:val="none"/>
              </w:rPr>
              <w:t>品种的销售业绩，每个有效业绩得1分，最多得5分。（以合同签订时间为准，提供合同复印件加盖公章，未提供不得分。）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0" w:type="dxa"/>
            <w:vMerge w:val="restart"/>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575" w:type="dxa"/>
            <w:vMerge w:val="restart"/>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苗圃基地情况</w:t>
            </w:r>
          </w:p>
        </w:tc>
        <w:tc>
          <w:tcPr>
            <w:tcW w:w="762" w:type="dxa"/>
            <w:vAlign w:val="center"/>
          </w:tcPr>
          <w:p>
            <w:pPr>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6317" w:type="dxa"/>
            <w:vAlign w:val="center"/>
          </w:tcPr>
          <w:p>
            <w:pP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投标供应商使用苗圃的面积≥200亩则得</w:t>
            </w:r>
            <w:r>
              <w:rPr>
                <w:rFonts w:ascii="新宋体" w:hAnsi="新宋体" w:eastAsia="新宋体" w:cs="新宋体"/>
                <w:color w:val="auto"/>
                <w:spacing w:val="4"/>
                <w:sz w:val="22"/>
                <w:szCs w:val="22"/>
                <w:highlight w:val="none"/>
              </w:rPr>
              <w:t>3</w:t>
            </w:r>
            <w:r>
              <w:rPr>
                <w:rFonts w:hint="eastAsia" w:ascii="新宋体" w:hAnsi="新宋体" w:eastAsia="新宋体" w:cs="新宋体"/>
                <w:color w:val="auto"/>
                <w:spacing w:val="4"/>
                <w:sz w:val="22"/>
                <w:szCs w:val="22"/>
                <w:highlight w:val="none"/>
              </w:rPr>
              <w:t>分，100亩≤苗圃&lt;200亩则得</w:t>
            </w:r>
            <w:r>
              <w:rPr>
                <w:rFonts w:ascii="新宋体" w:hAnsi="新宋体" w:eastAsia="新宋体" w:cs="新宋体"/>
                <w:color w:val="auto"/>
                <w:spacing w:val="4"/>
                <w:sz w:val="22"/>
                <w:szCs w:val="22"/>
                <w:highlight w:val="none"/>
              </w:rPr>
              <w:t>2</w:t>
            </w:r>
            <w:r>
              <w:rPr>
                <w:rFonts w:hint="eastAsia" w:ascii="新宋体" w:hAnsi="新宋体" w:eastAsia="新宋体" w:cs="新宋体"/>
                <w:color w:val="auto"/>
                <w:spacing w:val="4"/>
                <w:sz w:val="22"/>
                <w:szCs w:val="22"/>
                <w:highlight w:val="none"/>
              </w:rPr>
              <w:t>分，50亩≤苗圃&lt;100亩则得</w:t>
            </w:r>
            <w:r>
              <w:rPr>
                <w:rFonts w:ascii="新宋体" w:hAnsi="新宋体" w:eastAsia="新宋体" w:cs="新宋体"/>
                <w:color w:val="auto"/>
                <w:spacing w:val="4"/>
                <w:sz w:val="22"/>
                <w:szCs w:val="22"/>
                <w:highlight w:val="none"/>
              </w:rPr>
              <w:t>1</w:t>
            </w:r>
            <w:r>
              <w:rPr>
                <w:rFonts w:hint="eastAsia" w:ascii="新宋体" w:hAnsi="新宋体" w:eastAsia="新宋体" w:cs="新宋体"/>
                <w:color w:val="auto"/>
                <w:spacing w:val="4"/>
                <w:sz w:val="22"/>
                <w:szCs w:val="22"/>
                <w:highlight w:val="none"/>
              </w:rPr>
              <w:t>分，30亩≤苗圃&lt;50亩则得</w:t>
            </w:r>
            <w:r>
              <w:rPr>
                <w:rFonts w:ascii="新宋体" w:hAnsi="新宋体" w:eastAsia="新宋体" w:cs="新宋体"/>
                <w:color w:val="auto"/>
                <w:spacing w:val="4"/>
                <w:sz w:val="22"/>
                <w:szCs w:val="22"/>
                <w:highlight w:val="none"/>
              </w:rPr>
              <w:t>0.5</w:t>
            </w:r>
            <w:r>
              <w:rPr>
                <w:rFonts w:hint="eastAsia" w:ascii="新宋体" w:hAnsi="新宋体" w:eastAsia="新宋体" w:cs="新宋体"/>
                <w:color w:val="auto"/>
                <w:spacing w:val="4"/>
                <w:sz w:val="22"/>
                <w:szCs w:val="22"/>
                <w:highlight w:val="none"/>
              </w:rPr>
              <w:t>分，其余不得分；需提供相关证明材料复印件加盖公章。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50" w:type="dxa"/>
            <w:vMerge w:val="continue"/>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p>
        </w:tc>
        <w:tc>
          <w:tcPr>
            <w:tcW w:w="1575" w:type="dxa"/>
            <w:vMerge w:val="continue"/>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p>
        </w:tc>
        <w:tc>
          <w:tcPr>
            <w:tcW w:w="762" w:type="dxa"/>
            <w:vAlign w:val="center"/>
          </w:tcPr>
          <w:p>
            <w:pPr>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6317" w:type="dxa"/>
            <w:vAlign w:val="center"/>
          </w:tcPr>
          <w:p>
            <w:pP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根据投标供应商苗圃基地情况（包括苗圃种植的品种、规格、类别、品质及生长情况）。</w:t>
            </w:r>
          </w:p>
          <w:p>
            <w:pPr>
              <w:pStyle w:val="2"/>
              <w:ind w:left="0" w:firstLine="0" w:firstLineChars="0"/>
              <w:rPr>
                <w:color w:val="auto"/>
                <w:highlight w:val="none"/>
              </w:rPr>
            </w:pPr>
            <w:r>
              <w:rPr>
                <w:rFonts w:hint="eastAsia" w:ascii="新宋体" w:hAnsi="新宋体" w:eastAsia="新宋体" w:cs="新宋体"/>
                <w:color w:val="auto"/>
                <w:sz w:val="22"/>
                <w:szCs w:val="22"/>
                <w:highlight w:val="none"/>
              </w:rPr>
              <w:t>A档 4-2.1；        B档 2-1.1；         C档 1-0</w:t>
            </w:r>
            <w:r>
              <w:rPr>
                <w:rFonts w:hint="eastAsia" w:ascii="新宋体" w:hAnsi="新宋体" w:eastAsia="新宋体" w:cs="新宋体"/>
                <w:color w:val="auto"/>
                <w:spacing w:val="4"/>
                <w:sz w:val="22"/>
                <w:szCs w:val="22"/>
                <w:highlight w:val="none"/>
              </w:rPr>
              <w:t>。</w:t>
            </w:r>
          </w:p>
          <w:p>
            <w:pP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注：须提供种植基地的图片（彩图）等证明材料复印件加盖公章。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0" w:type="dxa"/>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575" w:type="dxa"/>
            <w:vAlign w:val="center"/>
          </w:tcPr>
          <w:p>
            <w:pPr>
              <w:pStyle w:val="154"/>
              <w:spacing w:beforeLines="0" w:after="0" w:afterLines="0" w:line="240" w:lineRule="auto"/>
              <w:ind w:firstLine="0" w:firstLineChars="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花卉苗木自有率</w:t>
            </w:r>
          </w:p>
        </w:tc>
        <w:tc>
          <w:tcPr>
            <w:tcW w:w="762" w:type="dxa"/>
            <w:vAlign w:val="center"/>
          </w:tcPr>
          <w:p>
            <w:pPr>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6317" w:type="dxa"/>
            <w:vAlign w:val="center"/>
          </w:tcPr>
          <w:p>
            <w:pP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根据投标供应商的本次采购花卉苗木自有率情况（提供承诺书、花卉苗木的购货清单、购货凭证及小苗照片）。</w:t>
            </w:r>
          </w:p>
          <w:p>
            <w:pPr>
              <w:pStyle w:val="2"/>
              <w:ind w:left="0" w:firstLine="0" w:firstLineChars="0"/>
              <w:rPr>
                <w:color w:val="auto"/>
                <w:highlight w:val="none"/>
              </w:rPr>
            </w:pPr>
            <w:r>
              <w:rPr>
                <w:rFonts w:hint="eastAsia" w:ascii="新宋体" w:hAnsi="新宋体" w:eastAsia="新宋体" w:cs="新宋体"/>
                <w:color w:val="auto"/>
                <w:sz w:val="22"/>
                <w:szCs w:val="22"/>
                <w:highlight w:val="none"/>
              </w:rPr>
              <w:t>A档 3-2.1；        B档2-1.1；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0" w:type="dxa"/>
            <w:vAlign w:val="center"/>
          </w:tcPr>
          <w:p>
            <w:pPr>
              <w:jc w:val="center"/>
              <w:rPr>
                <w:rFonts w:ascii="新宋体" w:hAnsi="新宋体" w:eastAsia="新宋体" w:cs="新宋体"/>
                <w:color w:val="auto"/>
                <w:sz w:val="22"/>
                <w:szCs w:val="22"/>
                <w:highlight w:val="none"/>
                <w:lang w:bidi="ar"/>
              </w:rPr>
            </w:pPr>
            <w:r>
              <w:rPr>
                <w:rFonts w:hint="eastAsia" w:ascii="新宋体" w:hAnsi="新宋体" w:eastAsia="新宋体" w:cs="新宋体"/>
                <w:color w:val="auto"/>
                <w:sz w:val="22"/>
                <w:szCs w:val="22"/>
                <w:highlight w:val="none"/>
                <w:lang w:bidi="ar"/>
              </w:rPr>
              <w:t>5</w:t>
            </w:r>
          </w:p>
        </w:tc>
        <w:tc>
          <w:tcPr>
            <w:tcW w:w="1575"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bidi="ar"/>
              </w:rPr>
              <w:t>苗木品质保障</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5</w:t>
            </w:r>
          </w:p>
        </w:tc>
        <w:tc>
          <w:tcPr>
            <w:tcW w:w="6317" w:type="dxa"/>
            <w:vAlign w:val="center"/>
          </w:tcPr>
          <w:p>
            <w:pPr>
              <w:pStyle w:val="153"/>
              <w:spacing w:line="240" w:lineRule="auto"/>
              <w:ind w:firstLine="0"/>
              <w:rPr>
                <w:rFonts w:ascii="新宋体" w:hAnsi="新宋体" w:eastAsia="新宋体" w:cs="新宋体"/>
                <w:color w:val="auto"/>
                <w:spacing w:val="4"/>
                <w:kern w:val="2"/>
                <w:sz w:val="22"/>
                <w:szCs w:val="22"/>
                <w:highlight w:val="none"/>
              </w:rPr>
            </w:pPr>
            <w:r>
              <w:rPr>
                <w:rFonts w:hint="eastAsia" w:ascii="新宋体" w:hAnsi="新宋体" w:eastAsia="新宋体" w:cs="新宋体"/>
                <w:color w:val="auto"/>
                <w:spacing w:val="4"/>
                <w:kern w:val="2"/>
                <w:sz w:val="22"/>
                <w:szCs w:val="22"/>
                <w:highlight w:val="none"/>
              </w:rPr>
              <w:t>根据投标供应商针对本项目的花卉苗木品质保障措施和承诺情况。</w:t>
            </w:r>
          </w:p>
          <w:p>
            <w:pPr>
              <w:pStyle w:val="153"/>
              <w:spacing w:line="240" w:lineRule="auto"/>
              <w:ind w:firstLine="0"/>
              <w:rPr>
                <w:rFonts w:ascii="新宋体" w:hAnsi="新宋体" w:eastAsia="新宋体" w:cs="新宋体"/>
                <w:color w:val="auto"/>
                <w:spacing w:val="4"/>
                <w:kern w:val="2"/>
                <w:sz w:val="22"/>
                <w:szCs w:val="22"/>
                <w:highlight w:val="none"/>
              </w:rPr>
            </w:pPr>
            <w:r>
              <w:rPr>
                <w:rFonts w:hint="eastAsia" w:ascii="新宋体" w:hAnsi="新宋体" w:eastAsia="新宋体" w:cs="新宋体"/>
                <w:color w:val="auto"/>
                <w:sz w:val="22"/>
                <w:szCs w:val="22"/>
                <w:highlight w:val="none"/>
              </w:rPr>
              <w:t>A档 5-3.1；        B档 3-1.1；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50" w:type="dxa"/>
            <w:vMerge w:val="restart"/>
            <w:vAlign w:val="center"/>
          </w:tcPr>
          <w:p>
            <w:pPr>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w:t>
            </w:r>
          </w:p>
        </w:tc>
        <w:tc>
          <w:tcPr>
            <w:tcW w:w="1575" w:type="dxa"/>
            <w:vMerge w:val="restart"/>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供货方案</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3</w:t>
            </w:r>
          </w:p>
        </w:tc>
        <w:tc>
          <w:tcPr>
            <w:tcW w:w="6317" w:type="dxa"/>
            <w:vAlign w:val="center"/>
          </w:tcPr>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pacing w:val="4"/>
                <w:kern w:val="2"/>
                <w:sz w:val="22"/>
                <w:szCs w:val="22"/>
                <w:highlight w:val="none"/>
              </w:rPr>
              <w:t>根据投标供应商针对本项目的运输、供货方案和保障措施的科学性、合理性、可行性</w:t>
            </w:r>
            <w:r>
              <w:rPr>
                <w:rFonts w:hint="eastAsia" w:ascii="新宋体" w:hAnsi="新宋体" w:eastAsia="新宋体" w:cs="新宋体"/>
                <w:color w:val="auto"/>
                <w:sz w:val="22"/>
                <w:szCs w:val="22"/>
                <w:highlight w:val="none"/>
              </w:rPr>
              <w:t>。</w:t>
            </w:r>
          </w:p>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 3-2.1；        B档2-1.1；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50" w:type="dxa"/>
            <w:vMerge w:val="continue"/>
            <w:vAlign w:val="center"/>
          </w:tcPr>
          <w:p>
            <w:pPr>
              <w:jc w:val="center"/>
              <w:rPr>
                <w:rFonts w:ascii="新宋体" w:hAnsi="新宋体" w:eastAsia="新宋体" w:cs="新宋体"/>
                <w:bCs/>
                <w:color w:val="auto"/>
                <w:sz w:val="22"/>
                <w:szCs w:val="22"/>
                <w:highlight w:val="none"/>
              </w:rPr>
            </w:pPr>
          </w:p>
        </w:tc>
        <w:tc>
          <w:tcPr>
            <w:tcW w:w="1575" w:type="dxa"/>
            <w:vMerge w:val="continue"/>
            <w:vAlign w:val="center"/>
          </w:tcPr>
          <w:p>
            <w:pPr>
              <w:jc w:val="center"/>
              <w:rPr>
                <w:rFonts w:ascii="新宋体" w:hAnsi="新宋体" w:eastAsia="新宋体" w:cs="新宋体"/>
                <w:bCs/>
                <w:color w:val="auto"/>
                <w:sz w:val="22"/>
                <w:szCs w:val="22"/>
                <w:highlight w:val="none"/>
              </w:rPr>
            </w:pP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3</w:t>
            </w:r>
          </w:p>
        </w:tc>
        <w:tc>
          <w:tcPr>
            <w:tcW w:w="6317" w:type="dxa"/>
            <w:vAlign w:val="center"/>
          </w:tcPr>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根据投标供应商的供货点距离项目实施地点的远近情况。</w:t>
            </w:r>
          </w:p>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 3-2.1；        B档2-1.1；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50" w:type="dxa"/>
            <w:vAlign w:val="center"/>
          </w:tcPr>
          <w:p>
            <w:pPr>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w:t>
            </w:r>
          </w:p>
        </w:tc>
        <w:tc>
          <w:tcPr>
            <w:tcW w:w="1575"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作业技术规范</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5</w:t>
            </w:r>
          </w:p>
        </w:tc>
        <w:tc>
          <w:tcPr>
            <w:tcW w:w="6317" w:type="dxa"/>
            <w:vAlign w:val="center"/>
          </w:tcPr>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pacing w:val="4"/>
                <w:kern w:val="2"/>
                <w:sz w:val="22"/>
                <w:szCs w:val="22"/>
                <w:highlight w:val="none"/>
              </w:rPr>
              <w:t>投标供应商针对本项目花卉苗木的选苗、起挖、包装、装运技术规范标准是否详细、科学、合理、可行</w:t>
            </w:r>
            <w:r>
              <w:rPr>
                <w:rFonts w:hint="eastAsia" w:ascii="新宋体" w:hAnsi="新宋体" w:eastAsia="新宋体" w:cs="新宋体"/>
                <w:color w:val="auto"/>
                <w:sz w:val="22"/>
                <w:szCs w:val="22"/>
                <w:highlight w:val="none"/>
              </w:rPr>
              <w:t>。</w:t>
            </w:r>
          </w:p>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 5-3.1；        B档 3-1.1；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50" w:type="dxa"/>
            <w:vAlign w:val="center"/>
          </w:tcPr>
          <w:p>
            <w:pPr>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w:t>
            </w:r>
          </w:p>
        </w:tc>
        <w:tc>
          <w:tcPr>
            <w:tcW w:w="1575" w:type="dxa"/>
            <w:vAlign w:val="center"/>
          </w:tcPr>
          <w:p>
            <w:pPr>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作业设备</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5</w:t>
            </w:r>
          </w:p>
        </w:tc>
        <w:tc>
          <w:tcPr>
            <w:tcW w:w="6317" w:type="dxa"/>
            <w:vAlign w:val="center"/>
          </w:tcPr>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pacing w:val="4"/>
                <w:kern w:val="2"/>
                <w:sz w:val="22"/>
                <w:szCs w:val="22"/>
                <w:highlight w:val="none"/>
              </w:rPr>
              <w:t>根据投标供应商投入本项目的作业设备配置情况（提供设备购置发票复印件加盖公章）</w:t>
            </w:r>
            <w:r>
              <w:rPr>
                <w:rFonts w:hint="eastAsia" w:ascii="新宋体" w:hAnsi="新宋体" w:eastAsia="新宋体" w:cs="新宋体"/>
                <w:color w:val="auto"/>
                <w:sz w:val="22"/>
                <w:szCs w:val="22"/>
                <w:highlight w:val="none"/>
              </w:rPr>
              <w:t>。</w:t>
            </w:r>
          </w:p>
          <w:p>
            <w:pPr>
              <w:pStyle w:val="153"/>
              <w:spacing w:line="240" w:lineRule="auto"/>
              <w:ind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A档 5-3.1；        B档 3-1.1；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0"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1575"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应急预案</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3</w:t>
            </w:r>
          </w:p>
        </w:tc>
        <w:tc>
          <w:tcPr>
            <w:tcW w:w="6317" w:type="dxa"/>
            <w:vAlign w:val="center"/>
          </w:tcPr>
          <w:p>
            <w:pP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根据投标供应商提供的应急预案（包括临时补货方案）的科学性、合理性、可行性。</w:t>
            </w:r>
          </w:p>
          <w:p>
            <w:pPr>
              <w:pStyle w:val="2"/>
              <w:ind w:left="0" w:firstLine="0" w:firstLineChars="0"/>
              <w:rPr>
                <w:color w:val="auto"/>
                <w:highlight w:val="none"/>
              </w:rPr>
            </w:pPr>
            <w:r>
              <w:rPr>
                <w:rFonts w:hint="eastAsia" w:ascii="新宋体" w:hAnsi="新宋体" w:eastAsia="新宋体" w:cs="新宋体"/>
                <w:color w:val="auto"/>
                <w:sz w:val="22"/>
                <w:szCs w:val="22"/>
                <w:highlight w:val="none"/>
              </w:rPr>
              <w:t>A档 3-2.1；        B档2-1.1；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50"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1575"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技术力量</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4</w:t>
            </w:r>
          </w:p>
        </w:tc>
        <w:tc>
          <w:tcPr>
            <w:tcW w:w="6317" w:type="dxa"/>
            <w:vAlign w:val="center"/>
          </w:tcPr>
          <w:p>
            <w:pPr>
              <w:pStyle w:val="2"/>
              <w:ind w:left="0" w:firstLine="0" w:firstLineChars="0"/>
              <w:rPr>
                <w:color w:val="auto"/>
                <w:highlight w:val="none"/>
              </w:rPr>
            </w:pPr>
            <w:r>
              <w:rPr>
                <w:rFonts w:hint="eastAsia"/>
                <w:color w:val="auto"/>
                <w:highlight w:val="none"/>
              </w:rPr>
              <w:t>拟投入本项目的项目管理人员的经验、劳动力投入否充足等情况（提供项目管理人员证书、社保证明复印件加盖公章）。</w:t>
            </w:r>
          </w:p>
          <w:p>
            <w:pPr>
              <w:pStyle w:val="2"/>
              <w:ind w:left="0" w:firstLine="0" w:firstLineChars="0"/>
              <w:rPr>
                <w:color w:val="auto"/>
                <w:highlight w:val="none"/>
              </w:rPr>
            </w:pPr>
            <w:r>
              <w:rPr>
                <w:rFonts w:hint="eastAsia" w:ascii="新宋体" w:hAnsi="新宋体" w:eastAsia="新宋体" w:cs="新宋体"/>
                <w:color w:val="auto"/>
                <w:sz w:val="22"/>
                <w:szCs w:val="22"/>
                <w:highlight w:val="none"/>
              </w:rPr>
              <w:t>A档 4-2.1；        B档 2-1.1；         C档 1-0</w:t>
            </w:r>
            <w:r>
              <w:rPr>
                <w:rFonts w:hint="eastAsia" w:ascii="新宋体" w:hAnsi="新宋体" w:eastAsia="新宋体" w:cs="新宋体"/>
                <w:color w:val="auto"/>
                <w:spacing w:val="4"/>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0"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1575" w:type="dxa"/>
            <w:vAlign w:val="center"/>
          </w:tcPr>
          <w:p>
            <w:pPr>
              <w:tabs>
                <w:tab w:val="left" w:pos="0"/>
              </w:tabs>
              <w:snapToGrid w:val="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售后服务方案及优惠承诺</w:t>
            </w:r>
          </w:p>
        </w:tc>
        <w:tc>
          <w:tcPr>
            <w:tcW w:w="762" w:type="dxa"/>
            <w:vAlign w:val="center"/>
          </w:tcPr>
          <w:p>
            <w:pPr>
              <w:jc w:val="center"/>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3</w:t>
            </w:r>
          </w:p>
        </w:tc>
        <w:tc>
          <w:tcPr>
            <w:tcW w:w="6317" w:type="dxa"/>
            <w:vAlign w:val="center"/>
          </w:tcPr>
          <w:p>
            <w:pPr>
              <w:rPr>
                <w:color w:val="auto"/>
                <w:sz w:val="24"/>
                <w:highlight w:val="none"/>
              </w:rPr>
            </w:pPr>
            <w:r>
              <w:rPr>
                <w:rFonts w:hint="eastAsia"/>
                <w:color w:val="auto"/>
                <w:sz w:val="24"/>
                <w:highlight w:val="none"/>
              </w:rPr>
              <w:t>根据售后服务方案及优惠承诺方案的合理、可行性。</w:t>
            </w:r>
          </w:p>
          <w:p>
            <w:pPr>
              <w:pStyle w:val="2"/>
              <w:ind w:left="0" w:firstLine="0" w:firstLineChars="0"/>
              <w:rPr>
                <w:color w:val="auto"/>
                <w:highlight w:val="none"/>
              </w:rPr>
            </w:pPr>
            <w:r>
              <w:rPr>
                <w:rFonts w:hint="eastAsia" w:ascii="新宋体" w:hAnsi="新宋体" w:eastAsia="新宋体" w:cs="新宋体"/>
                <w:color w:val="auto"/>
                <w:sz w:val="22"/>
                <w:szCs w:val="22"/>
                <w:highlight w:val="none"/>
              </w:rPr>
              <w:t>A档 3-2.1；        B档2-1.1；         C档 1-0</w:t>
            </w:r>
            <w:r>
              <w:rPr>
                <w:rFonts w:hint="eastAsia" w:ascii="新宋体" w:hAnsi="新宋体" w:eastAsia="新宋体" w:cs="新宋体"/>
                <w:color w:val="auto"/>
                <w:spacing w:val="4"/>
                <w:sz w:val="22"/>
                <w:szCs w:val="22"/>
                <w:highlight w:val="none"/>
              </w:rPr>
              <w:t>。</w:t>
            </w:r>
          </w:p>
        </w:tc>
      </w:tr>
    </w:tbl>
    <w:p>
      <w:pPr>
        <w:overflowPunct w:val="0"/>
        <w:spacing w:line="360" w:lineRule="auto"/>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2、商务（报价）部分评定（50分）：</w:t>
      </w:r>
    </w:p>
    <w:p>
      <w:pPr>
        <w:spacing w:line="360" w:lineRule="auto"/>
        <w:ind w:firstLine="330" w:firstLineChars="150"/>
        <w:rPr>
          <w:rFonts w:ascii="新宋体" w:hAnsi="新宋体" w:eastAsia="新宋体" w:cs="新宋体"/>
          <w:color w:val="auto"/>
          <w:sz w:val="22"/>
          <w:szCs w:val="22"/>
          <w:highlight w:val="none"/>
          <w:lang w:bidi="he-IL"/>
        </w:rPr>
      </w:pPr>
      <w:bookmarkStart w:id="237" w:name="_Toc221356903"/>
      <w:bookmarkStart w:id="238" w:name="_Toc221356966"/>
      <w:r>
        <w:rPr>
          <w:rFonts w:hint="eastAsia" w:ascii="新宋体" w:hAnsi="新宋体" w:eastAsia="新宋体" w:cs="新宋体"/>
          <w:color w:val="auto"/>
          <w:sz w:val="22"/>
          <w:szCs w:val="22"/>
          <w:highlight w:val="none"/>
          <w:lang w:bidi="he-IL"/>
        </w:rPr>
        <w:t>所有有效投标人中最低投标报价为评标基准价;</w:t>
      </w:r>
    </w:p>
    <w:p>
      <w:pPr>
        <w:spacing w:line="360" w:lineRule="auto"/>
        <w:ind w:firstLine="330" w:firstLineChars="150"/>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1）有效投标人的投标报价等于评标基准价时，其商务（报价）评分值为满分50分；</w:t>
      </w:r>
    </w:p>
    <w:p>
      <w:pPr>
        <w:spacing w:line="360" w:lineRule="auto"/>
        <w:ind w:firstLine="330" w:firstLineChars="150"/>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2）其他有效投标人的商务（报价）分按以下公式计算：</w:t>
      </w:r>
    </w:p>
    <w:p>
      <w:pPr>
        <w:spacing w:line="360" w:lineRule="auto"/>
        <w:ind w:left="657" w:leftChars="313"/>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lang w:bidi="he-IL"/>
        </w:rPr>
        <w:t>商务（报价）分得分=（评标基准价/投标人投标报价）×价格权值×100（四舍五入后保留小数2位）（价格权值为50%）</w:t>
      </w:r>
      <w:r>
        <w:rPr>
          <w:rFonts w:hint="eastAsia" w:ascii="新宋体" w:hAnsi="新宋体" w:eastAsia="新宋体" w:cs="新宋体"/>
          <w:color w:val="auto"/>
          <w:sz w:val="22"/>
          <w:highlight w:val="none"/>
        </w:rPr>
        <w:t>;</w:t>
      </w:r>
    </w:p>
    <w:p>
      <w:pPr>
        <w:spacing w:line="360" w:lineRule="auto"/>
        <w:ind w:left="353" w:leftChars="168"/>
        <w:rPr>
          <w:rFonts w:ascii="宋体" w:hAnsi="宋体"/>
          <w:color w:val="auto"/>
          <w:spacing w:val="-4"/>
          <w:sz w:val="22"/>
          <w:szCs w:val="22"/>
          <w:highlight w:val="none"/>
          <w:u w:val="single"/>
        </w:rPr>
      </w:pPr>
      <w:r>
        <w:rPr>
          <w:rFonts w:hint="eastAsia" w:ascii="新宋体" w:hAnsi="新宋体" w:eastAsia="新宋体" w:cs="新宋体"/>
          <w:color w:val="auto"/>
          <w:sz w:val="22"/>
          <w:szCs w:val="22"/>
          <w:highlight w:val="none"/>
        </w:rPr>
        <w:t>3、</w:t>
      </w:r>
      <w:r>
        <w:rPr>
          <w:rFonts w:hint="eastAsia" w:ascii="宋体" w:hAnsi="宋体" w:cs="宋体"/>
          <w:color w:val="auto"/>
          <w:sz w:val="22"/>
          <w:szCs w:val="22"/>
          <w:highlight w:val="none"/>
          <w:u w:val="single"/>
        </w:rPr>
        <w:t>▲</w:t>
      </w:r>
      <w:r>
        <w:rPr>
          <w:rFonts w:hint="eastAsia" w:ascii="宋体" w:hAnsi="宋体"/>
          <w:color w:val="auto"/>
          <w:spacing w:val="-4"/>
          <w:sz w:val="22"/>
          <w:szCs w:val="22"/>
          <w:highlight w:val="none"/>
          <w:u w:val="single"/>
        </w:rPr>
        <w:t>投标人的投标分项报价表中的所投综合单价不得超过采购清单中的综合单价最高限价，否则投标文件按无效标处理。</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4、所有投标人的所投综合单价均超综合单价最高限价，本项目重新组织采购。</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5、各有效投标人的综合得分为技术资信分和商务（报价）分的总和。</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六、定标办法</w:t>
      </w:r>
      <w:bookmarkEnd w:id="237"/>
      <w:bookmarkEnd w:id="238"/>
    </w:p>
    <w:p>
      <w:pPr>
        <w:overflowPunct w:val="0"/>
        <w:spacing w:line="360" w:lineRule="auto"/>
        <w:ind w:firstLine="440" w:firstLineChars="200"/>
        <w:rPr>
          <w:rFonts w:ascii="新宋体" w:hAnsi="新宋体" w:eastAsia="新宋体" w:cs="新宋体"/>
          <w:color w:val="auto"/>
          <w:sz w:val="22"/>
          <w:szCs w:val="22"/>
          <w:highlight w:val="none"/>
        </w:rPr>
      </w:pPr>
      <w:bookmarkStart w:id="239" w:name="_Toc221356967"/>
      <w:bookmarkStart w:id="240" w:name="_Toc221356904"/>
      <w:r>
        <w:rPr>
          <w:rFonts w:hint="eastAsia" w:ascii="新宋体" w:hAnsi="新宋体" w:eastAsia="新宋体" w:cs="新宋体"/>
          <w:color w:val="auto"/>
          <w:sz w:val="22"/>
          <w:szCs w:val="22"/>
          <w:highlight w:val="none"/>
        </w:rPr>
        <w:t>1、评标委员会按综合得分高低顺序排列，综合得分前两名投标人依次作为第一中标候选人和第二中标候选人向采购人推荐，并提交评标报告。得分相同的，按投标报价由低到高顺序排列；得分且投标报价相同的，由评标委员会抽签决定。</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次采购由评标委员会推荐中标候选人，采购人根据评标委员会的推荐结果进行最终确认。如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人。如第二中标候选人因前款规定的同样原因不能签订合同的，本次采购失败，重新组织采购。</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七、确定</w:t>
      </w:r>
      <w:bookmarkEnd w:id="239"/>
      <w:bookmarkEnd w:id="240"/>
      <w:r>
        <w:rPr>
          <w:rFonts w:hint="eastAsia" w:ascii="新宋体" w:hAnsi="新宋体" w:eastAsia="新宋体" w:cs="新宋体"/>
          <w:color w:val="auto"/>
          <w:sz w:val="22"/>
          <w:szCs w:val="22"/>
          <w:highlight w:val="none"/>
        </w:rPr>
        <w:t>中标人</w:t>
      </w:r>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评标结束后，采购人将在指定媒介上公示中标结果。公示期结束，且在规定期限内无异议则采购组织机构将向中标人发出中标通知书。</w:t>
      </w:r>
    </w:p>
    <w:p>
      <w:pPr>
        <w:overflowPunct w:val="0"/>
        <w:spacing w:line="360" w:lineRule="auto"/>
        <w:ind w:firstLine="440" w:firstLineChars="200"/>
        <w:rPr>
          <w:rFonts w:ascii="新宋体" w:hAnsi="新宋体" w:eastAsia="新宋体" w:cs="新宋体"/>
          <w:color w:val="auto"/>
          <w:sz w:val="22"/>
          <w:szCs w:val="22"/>
          <w:highlight w:val="none"/>
        </w:rPr>
      </w:pPr>
      <w:bookmarkStart w:id="241" w:name="_Toc221356905"/>
      <w:bookmarkStart w:id="242" w:name="_Toc221356968"/>
      <w:r>
        <w:rPr>
          <w:rFonts w:hint="eastAsia" w:ascii="新宋体" w:hAnsi="新宋体" w:eastAsia="新宋体" w:cs="新宋体"/>
          <w:color w:val="auto"/>
          <w:sz w:val="22"/>
          <w:szCs w:val="22"/>
          <w:highlight w:val="none"/>
        </w:rPr>
        <w:t>八、投标人义务</w:t>
      </w:r>
      <w:bookmarkEnd w:id="241"/>
      <w:bookmarkEnd w:id="242"/>
    </w:p>
    <w:p>
      <w:pPr>
        <w:overflowPunct w:val="0"/>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投标人应随时接受评标委员会的询标，解答包括有关的商务、技术问题等。评标结束，所有评标资料存采购组织机构机构备查。</w:t>
      </w:r>
    </w:p>
    <w:p>
      <w:pPr>
        <w:overflowPunct w:val="0"/>
        <w:spacing w:line="360" w:lineRule="auto"/>
        <w:ind w:firstLine="440" w:firstLineChars="200"/>
        <w:rPr>
          <w:rFonts w:ascii="新宋体" w:hAnsi="新宋体" w:eastAsia="新宋体" w:cs="新宋体"/>
          <w:color w:val="auto"/>
          <w:sz w:val="22"/>
          <w:szCs w:val="22"/>
          <w:highlight w:val="none"/>
        </w:rPr>
      </w:pPr>
    </w:p>
    <w:p>
      <w:pPr>
        <w:overflowPunct w:val="0"/>
        <w:spacing w:line="360" w:lineRule="auto"/>
        <w:ind w:firstLine="440" w:firstLineChars="200"/>
        <w:rPr>
          <w:rFonts w:ascii="新宋体" w:hAnsi="新宋体" w:eastAsia="新宋体" w:cs="新宋体"/>
          <w:color w:val="auto"/>
          <w:sz w:val="22"/>
          <w:szCs w:val="22"/>
          <w:highlight w:val="none"/>
        </w:rPr>
      </w:pPr>
    </w:p>
    <w:sectPr>
      <w:pgSz w:w="11906" w:h="16838"/>
      <w:pgMar w:top="1134" w:right="1134" w:bottom="1134" w:left="1134" w:header="851" w:footer="851" w:gutter="0"/>
      <w:cols w:space="720" w:num="1"/>
      <w:docGrid w:linePitch="3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Univers LT Std 57 Cn">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59" w:rightChars="171"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VI/c/QAQAAmQMAAA4AAABkcnMvZTJvRG9jLnhtbK1TS27bMBDdF+gd&#10;CO5rSW6cBILloIWRokDRFkh7AJoiLQL8gUNb8gXaG3TVTfc9l8+RISU7n26y6IYazYzevPc4Wt4M&#10;RpO9CKCcbWg1KykRlrtW2W1Dv3+7fXNNCURmW6adFQ09CKA3q9evlr2vxdx1TrciEASxUPe+oV2M&#10;vi4K4J0wDGbOC4tF6YJhEV/DtmgD6xHd6GJelpdF70Lrg+MCALPrsUgnxPASQCel4mLt+M4IG0fU&#10;IDSLKAk65YGuMlspBY9fpAQRiW4oKo35xCEYb9JZrJas3gbmO8UnCuwlFJ5pMkxZHHqGWrPIyC6o&#10;f6CM4sGBk3HGnSlGIdkRVFGVz7y565gXWQtaDf5sOvw/WP55/zUQ1eImUGKZwQs//vp5/P33+OcH&#10;qcr5ZXKo91Bj453H1ji8d0PqnvKAySR8kMGkJ0oiWEd/D2d/xRAJx+Ti6up6QQnHSvW2urhYJJDi&#10;4VsfIH4QzpAUNDTg7WVT2f4TxLH11JJGWXertMY8q7V9kkDMlCkS8ZFgiuKwGSbWG9ceUEyPF99Q&#10;i3tOif5o0de0I6cgnILNKdj5oLYdUqsyL/DvdhFJZG5pwgg7DcYby+qm7Uor8fg9dz38Ua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4vdRNAAAAACAQAADwAAAAAAAAABACAAAAAiAAAAZHJzL2Rv&#10;d25yZXYueG1sUEsBAhQAFAAAAAgAh07iQMVI/c/QAQAAm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p>
  <w:p>
    <w:pPr>
      <w:pStyle w:val="22"/>
      <w:pBdr>
        <w:top w:val="single" w:color="auto" w:sz="4" w:space="1"/>
      </w:pBdr>
      <w:jc w:val="both"/>
      <w:rPr>
        <w:rFonts w:ascii="楷体_GB2312" w:eastAsia="楷体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819"/>
        <w:tab w:val="clear" w:pos="4153"/>
      </w:tabs>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73D/3RAQAAmQMAAA4AAABkcnMvZTJvRG9jLnhtbK1TS27bMBDdF8gd&#10;CO5jSU7cBILloIWRIEDRFkh7AJqiLAL8gUNb8gXaG3TVTfc9l8+RISU5n26y6IYaDUdv3nszWt70&#10;WpG98CCtqWgxyykRhttamm1Fv3+7Pb+mBAIzNVPWiIoeBNCb1dm7ZedKMbetVbXwBEEMlJ2raBuC&#10;K7MMeCs0g5l1wuBlY71mAV/9Nqs96xBdq2ye5++zzvraecsFAGbXwyUdEf1bAG3TSC7Wlu+0MGFA&#10;9UKxgJKglQ7oKrFtGsHDl6YBEYiqKCoN6cQmGG/ima2WrNx65lrJRwrsLRReadJMGmx6glqzwMjO&#10;y3+gtOTegm3CjFudDUKSI6iiyF9589AyJ5IWtBrcyXT4f7D88/6rJ7Ku6AUlhmkc+PHXz+Pvv8c/&#10;P0iRzxfRoc5BiYUPDktD/9H2uDdTHjAZhfeN1/GJkgjeo7+Hk7+iD4RjcnF1db2ghONNcVFcXibw&#10;7Olb5yHcCatJDCrqcXrJVLb/BAF5YOlUElsZeyuVShNU5kUCC2Mmi8QHgjEK/aYf1WxsfUAxHQ6+&#10;ogb3nBJ1b9DXuCNT4KdgMwU75+W2RWpF4gXuwy4gicQtdhhgx8Y4sUR53K64Es/fU9XTH7V6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L3UTQAAAAAgEAAA8AAAAAAAAAAQAgAAAAIgAAAGRycy9k&#10;b3ducmV2LnhtbFBLAQIUABQAAAAIAIdO4kAO9w/90QEAAJkDAAAOAAAAAAAAAAEAIAAAAB8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jc w:val="both"/>
      <w:rPr>
        <w:rFonts w:ascii="宋体" w:hAnsi="宋体"/>
      </w:rPr>
    </w:pPr>
    <w:r>
      <w:rPr>
        <w:rFonts w:hint="eastAsia"/>
      </w:rPr>
      <w:t xml:space="preserve">                           </w:t>
    </w:r>
    <w:r>
      <w:rPr>
        <w:rFonts w:hint="eastAsia" w:ascii="宋体" w:hAnsi="宋体"/>
      </w:rPr>
      <w:t>温州市名城资产营运有限公司非政府采购项目采购文件</w:t>
    </w:r>
  </w:p>
  <w:p>
    <w:pPr>
      <w:pStyle w:val="24"/>
      <w:pBdr>
        <w:bottom w:val="none" w:color="auto" w:sz="0" w:space="1"/>
      </w:pBdr>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jc w:val="both"/>
      <w:rPr>
        <w:rFonts w:ascii="宋体" w:hAnsi="宋体"/>
      </w:rPr>
    </w:pPr>
    <w:r>
      <w:rPr>
        <w:rFonts w:hint="eastAsia" w:ascii="宋体" w:hAnsi="宋体"/>
      </w:rPr>
      <w:t>温州市名城资产营运有限公司其他类国企</w:t>
    </w:r>
    <w:r>
      <w:rPr>
        <w:rFonts w:ascii="宋体" w:hAnsi="宋体"/>
      </w:rPr>
      <w:t>采购（</w:t>
    </w:r>
    <w:r>
      <w:rPr>
        <w:rFonts w:hint="eastAsia" w:ascii="宋体" w:hAnsi="宋体"/>
      </w:rPr>
      <w:t>非政府采购</w:t>
    </w:r>
    <w:r>
      <w:rPr>
        <w:rFonts w:ascii="宋体" w:hAnsi="宋体"/>
      </w:rPr>
      <w:t>）</w:t>
    </w:r>
    <w:r>
      <w:rPr>
        <w:rFonts w:hint="eastAsia" w:ascii="宋体" w:hAnsi="宋体"/>
      </w:rPr>
      <w:t>项目采购文件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0C0972"/>
    <w:multiLevelType w:val="singleLevel"/>
    <w:tmpl w:val="D40C0972"/>
    <w:lvl w:ilvl="0" w:tentative="0">
      <w:start w:val="1"/>
      <w:numFmt w:val="bullet"/>
      <w:pStyle w:val="17"/>
      <w:lvlText w:val=""/>
      <w:lvlJc w:val="left"/>
      <w:pPr>
        <w:tabs>
          <w:tab w:val="left" w:pos="780"/>
        </w:tabs>
        <w:ind w:left="780" w:hanging="360"/>
      </w:pPr>
      <w:rPr>
        <w:rFonts w:hint="default" w:ascii="Wingdings" w:hAnsi="Wingdings"/>
      </w:rPr>
    </w:lvl>
  </w:abstractNum>
  <w:abstractNum w:abstractNumId="1">
    <w:nsid w:val="E5EF876C"/>
    <w:multiLevelType w:val="singleLevel"/>
    <w:tmpl w:val="E5EF876C"/>
    <w:lvl w:ilvl="0" w:tentative="0">
      <w:start w:val="1"/>
      <w:numFmt w:val="decimal"/>
      <w:suff w:val="space"/>
      <w:lvlText w:val="%1."/>
      <w:lvlJc w:val="left"/>
    </w:lvl>
  </w:abstractNum>
  <w:abstractNum w:abstractNumId="2">
    <w:nsid w:val="0000000C"/>
    <w:multiLevelType w:val="singleLevel"/>
    <w:tmpl w:val="0000000C"/>
    <w:lvl w:ilvl="0" w:tentative="0">
      <w:start w:val="1"/>
      <w:numFmt w:val="decimal"/>
      <w:pStyle w:val="128"/>
      <w:lvlText w:val="%1)"/>
      <w:lvlJc w:val="left"/>
      <w:pPr>
        <w:tabs>
          <w:tab w:val="left" w:pos="425"/>
        </w:tabs>
        <w:ind w:left="425" w:hanging="425"/>
      </w:pPr>
      <w:rPr>
        <w:rFonts w:hint="default"/>
      </w:rPr>
    </w:lvl>
  </w:abstractNum>
  <w:abstractNum w:abstractNumId="3">
    <w:nsid w:val="00000031"/>
    <w:multiLevelType w:val="multilevel"/>
    <w:tmpl w:val="00000031"/>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5FE0DEB"/>
    <w:multiLevelType w:val="multilevel"/>
    <w:tmpl w:val="05FE0DEB"/>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E631A2B"/>
    <w:multiLevelType w:val="multilevel"/>
    <w:tmpl w:val="0E631A2B"/>
    <w:lvl w:ilvl="0" w:tentative="0">
      <w:start w:val="1"/>
      <w:numFmt w:val="decimal"/>
      <w:lvlText w:val="%1."/>
      <w:lvlJc w:val="left"/>
      <w:pPr>
        <w:tabs>
          <w:tab w:val="left" w:pos="420"/>
        </w:tabs>
        <w:ind w:left="420" w:hanging="420"/>
      </w:pPr>
      <w:rPr>
        <w:rFonts w:hint="eastAsia" w:ascii="长城仿宋" w:hAnsi="黑体" w:eastAsia="长城仿宋" w:cs="黑体"/>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6">
    <w:nsid w:val="15EF223A"/>
    <w:multiLevelType w:val="multilevel"/>
    <w:tmpl w:val="15EF223A"/>
    <w:lvl w:ilvl="0" w:tentative="0">
      <w:start w:val="1"/>
      <w:numFmt w:val="none"/>
      <w:lvlText w:val="2"/>
      <w:lvlJc w:val="left"/>
      <w:pPr>
        <w:tabs>
          <w:tab w:val="left" w:pos="425"/>
        </w:tabs>
        <w:ind w:left="425" w:hanging="425"/>
      </w:pPr>
      <w:rPr>
        <w:rFonts w:hint="eastAsia"/>
      </w:rPr>
    </w:lvl>
    <w:lvl w:ilvl="1" w:tentative="0">
      <w:start w:val="1"/>
      <w:numFmt w:val="decimal"/>
      <w:lvlText w:val="%112.%2"/>
      <w:lvlJc w:val="left"/>
      <w:pPr>
        <w:tabs>
          <w:tab w:val="left" w:pos="992"/>
        </w:tabs>
        <w:ind w:left="992"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18EF380F"/>
    <w:multiLevelType w:val="multilevel"/>
    <w:tmpl w:val="18EF380F"/>
    <w:lvl w:ilvl="0" w:tentative="0">
      <w:start w:val="1"/>
      <w:numFmt w:val="none"/>
      <w:lvlText w:val="2"/>
      <w:lvlJc w:val="left"/>
      <w:pPr>
        <w:tabs>
          <w:tab w:val="left" w:pos="425"/>
        </w:tabs>
        <w:ind w:left="425" w:hanging="425"/>
      </w:pPr>
      <w:rPr>
        <w:rFonts w:hint="eastAsia"/>
      </w:rPr>
    </w:lvl>
    <w:lvl w:ilvl="1" w:tentative="0">
      <w:start w:val="1"/>
      <w:numFmt w:val="decimal"/>
      <w:lvlText w:val="%114.%2"/>
      <w:lvlJc w:val="left"/>
      <w:pPr>
        <w:tabs>
          <w:tab w:val="left" w:pos="992"/>
        </w:tabs>
        <w:ind w:left="992"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22D61479"/>
    <w:multiLevelType w:val="multilevel"/>
    <w:tmpl w:val="22D61479"/>
    <w:lvl w:ilvl="0" w:tentative="0">
      <w:start w:val="1"/>
      <w:numFmt w:val="bullet"/>
      <w:pStyle w:val="87"/>
      <w:lvlText w:val=""/>
      <w:lvlJc w:val="left"/>
      <w:pPr>
        <w:tabs>
          <w:tab w:val="left" w:pos="391"/>
        </w:tabs>
        <w:ind w:left="391" w:hanging="391"/>
      </w:pPr>
      <w:rPr>
        <w:rFonts w:hint="default" w:ascii="Wingdings" w:hAnsi="Wingdings"/>
        <w:lang w:eastAsia="zh-CN"/>
      </w:rPr>
    </w:lvl>
    <w:lvl w:ilvl="1" w:tentative="0">
      <w:start w:val="1"/>
      <w:numFmt w:val="bullet"/>
      <w:lvlText w:val=""/>
      <w:lvlJc w:val="left"/>
      <w:pPr>
        <w:ind w:left="473" w:hanging="420"/>
      </w:pPr>
      <w:rPr>
        <w:rFonts w:hint="default" w:ascii="Wingdings" w:hAnsi="Wingdings"/>
      </w:rPr>
    </w:lvl>
    <w:lvl w:ilvl="2" w:tentative="0">
      <w:start w:val="1"/>
      <w:numFmt w:val="decimal"/>
      <w:lvlText w:val="%3."/>
      <w:lvlJc w:val="center"/>
      <w:pPr>
        <w:ind w:left="893" w:hanging="420"/>
      </w:pPr>
      <w:rPr>
        <w:rFonts w:hint="eastAsia"/>
      </w:rPr>
    </w:lvl>
    <w:lvl w:ilvl="3" w:tentative="0">
      <w:start w:val="1"/>
      <w:numFmt w:val="decimal"/>
      <w:pStyle w:val="112"/>
      <w:lvlText w:val="（%4）"/>
      <w:lvlJc w:val="left"/>
      <w:pPr>
        <w:ind w:left="1418" w:hanging="1134"/>
      </w:pPr>
      <w:rPr>
        <w:rFonts w:hint="default" w:hAnsi="Times New Roman"/>
      </w:rPr>
    </w:lvl>
    <w:lvl w:ilvl="4" w:tentative="0">
      <w:start w:val="1"/>
      <w:numFmt w:val="bullet"/>
      <w:lvlText w:val=""/>
      <w:lvlJc w:val="left"/>
      <w:pPr>
        <w:ind w:left="1733" w:hanging="420"/>
      </w:pPr>
      <w:rPr>
        <w:rFonts w:hint="default" w:ascii="Wingdings" w:hAnsi="Wingdings"/>
      </w:rPr>
    </w:lvl>
    <w:lvl w:ilvl="5" w:tentative="0">
      <w:start w:val="1"/>
      <w:numFmt w:val="bullet"/>
      <w:lvlText w:val=""/>
      <w:lvlJc w:val="left"/>
      <w:pPr>
        <w:ind w:left="2153" w:hanging="420"/>
      </w:pPr>
      <w:rPr>
        <w:rFonts w:hint="default" w:ascii="Wingdings" w:hAnsi="Wingdings"/>
      </w:rPr>
    </w:lvl>
    <w:lvl w:ilvl="6" w:tentative="0">
      <w:start w:val="1"/>
      <w:numFmt w:val="bullet"/>
      <w:lvlText w:val=""/>
      <w:lvlJc w:val="left"/>
      <w:pPr>
        <w:ind w:left="2573" w:hanging="420"/>
      </w:pPr>
      <w:rPr>
        <w:rFonts w:hint="default" w:ascii="Wingdings" w:hAnsi="Wingdings"/>
      </w:rPr>
    </w:lvl>
    <w:lvl w:ilvl="7" w:tentative="0">
      <w:start w:val="1"/>
      <w:numFmt w:val="bullet"/>
      <w:lvlText w:val=""/>
      <w:lvlJc w:val="left"/>
      <w:pPr>
        <w:ind w:left="2993" w:hanging="420"/>
      </w:pPr>
      <w:rPr>
        <w:rFonts w:hint="default" w:ascii="Wingdings" w:hAnsi="Wingdings"/>
      </w:rPr>
    </w:lvl>
    <w:lvl w:ilvl="8" w:tentative="0">
      <w:start w:val="1"/>
      <w:numFmt w:val="bullet"/>
      <w:lvlText w:val=""/>
      <w:lvlJc w:val="left"/>
      <w:pPr>
        <w:ind w:left="3413" w:hanging="420"/>
      </w:pPr>
      <w:rPr>
        <w:rFonts w:hint="default" w:ascii="Wingdings" w:hAnsi="Wingdings"/>
      </w:rPr>
    </w:lvl>
  </w:abstractNum>
  <w:abstractNum w:abstractNumId="9">
    <w:nsid w:val="2434239E"/>
    <w:multiLevelType w:val="multilevel"/>
    <w:tmpl w:val="2434239E"/>
    <w:lvl w:ilvl="0" w:tentative="0">
      <w:start w:val="1"/>
      <w:numFmt w:val="decimal"/>
      <w:lvlText w:val="%1."/>
      <w:lvlJc w:val="left"/>
      <w:pPr>
        <w:tabs>
          <w:tab w:val="left" w:pos="420"/>
        </w:tabs>
        <w:ind w:left="420" w:hanging="420"/>
      </w:pPr>
      <w:rPr>
        <w:rFonts w:hint="eastAsia" w:ascii="新宋体" w:hAnsi="新宋体" w:eastAsia="新宋体" w:cs="黑体"/>
      </w:rPr>
    </w:lvl>
    <w:lvl w:ilvl="1" w:tentative="0">
      <w:start w:val="0"/>
      <w:numFmt w:val="none"/>
      <w:lvlText w:val=""/>
      <w:lvlJc w:val="left"/>
      <w:pPr>
        <w:tabs>
          <w:tab w:val="left" w:pos="360"/>
        </w:tabs>
      </w:pPr>
    </w:lvl>
    <w:lvl w:ilvl="2" w:tentative="0">
      <w:start w:val="0"/>
      <w:numFmt w:val="none"/>
      <w:pStyle w:val="133"/>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0">
    <w:nsid w:val="2A23A1D9"/>
    <w:multiLevelType w:val="singleLevel"/>
    <w:tmpl w:val="2A23A1D9"/>
    <w:lvl w:ilvl="0" w:tentative="0">
      <w:start w:val="4"/>
      <w:numFmt w:val="chineseCounting"/>
      <w:suff w:val="space"/>
      <w:lvlText w:val="第%1部分"/>
      <w:lvlJc w:val="left"/>
      <w:rPr>
        <w:rFonts w:hint="eastAsia"/>
      </w:rPr>
    </w:lvl>
  </w:abstractNum>
  <w:abstractNum w:abstractNumId="11">
    <w:nsid w:val="30AC69EE"/>
    <w:multiLevelType w:val="multilevel"/>
    <w:tmpl w:val="30AC69EE"/>
    <w:lvl w:ilvl="0" w:tentative="0">
      <w:start w:val="1"/>
      <w:numFmt w:val="decimal"/>
      <w:lvlText w:val="（%1）"/>
      <w:lvlJc w:val="left"/>
      <w:pPr>
        <w:tabs>
          <w:tab w:val="left" w:pos="420"/>
        </w:tabs>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40021B3"/>
    <w:multiLevelType w:val="multilevel"/>
    <w:tmpl w:val="340021B3"/>
    <w:lvl w:ilvl="0" w:tentative="0">
      <w:start w:val="1"/>
      <w:numFmt w:val="none"/>
      <w:lvlText w:val="2"/>
      <w:lvlJc w:val="left"/>
      <w:pPr>
        <w:tabs>
          <w:tab w:val="left" w:pos="425"/>
        </w:tabs>
        <w:ind w:left="425" w:hanging="425"/>
      </w:pPr>
      <w:rPr>
        <w:rFonts w:hint="eastAsia"/>
      </w:rPr>
    </w:lvl>
    <w:lvl w:ilvl="1" w:tentative="0">
      <w:start w:val="1"/>
      <w:numFmt w:val="decimal"/>
      <w:lvlText w:val="%121.%2"/>
      <w:lvlJc w:val="left"/>
      <w:pPr>
        <w:tabs>
          <w:tab w:val="left" w:pos="992"/>
        </w:tabs>
        <w:ind w:left="992"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37336470"/>
    <w:multiLevelType w:val="multilevel"/>
    <w:tmpl w:val="37336470"/>
    <w:lvl w:ilvl="0" w:tentative="0">
      <w:start w:val="28"/>
      <w:numFmt w:val="decimal"/>
      <w:lvlText w:val="%1"/>
      <w:lvlJc w:val="left"/>
      <w:pPr>
        <w:ind w:left="480" w:hanging="480"/>
      </w:pPr>
      <w:rPr>
        <w:rFonts w:hint="default"/>
        <w:b w:val="0"/>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b w:val="0"/>
      </w:rPr>
    </w:lvl>
    <w:lvl w:ilvl="3" w:tentative="0">
      <w:start w:val="1"/>
      <w:numFmt w:val="decimal"/>
      <w:lvlText w:val="%1.%2.%3.%4"/>
      <w:lvlJc w:val="left"/>
      <w:pPr>
        <w:ind w:left="1080" w:hanging="1080"/>
      </w:pPr>
      <w:rPr>
        <w:rFonts w:hint="default"/>
        <w:b w:val="0"/>
      </w:rPr>
    </w:lvl>
    <w:lvl w:ilvl="4" w:tentative="0">
      <w:start w:val="1"/>
      <w:numFmt w:val="decimal"/>
      <w:lvlText w:val="%1.%2.%3.%4.%5"/>
      <w:lvlJc w:val="left"/>
      <w:pPr>
        <w:ind w:left="1080" w:hanging="1080"/>
      </w:pPr>
      <w:rPr>
        <w:rFonts w:hint="default"/>
        <w:b w:val="0"/>
      </w:rPr>
    </w:lvl>
    <w:lvl w:ilvl="5" w:tentative="0">
      <w:start w:val="1"/>
      <w:numFmt w:val="decimal"/>
      <w:lvlText w:val="%1.%2.%3.%4.%5.%6"/>
      <w:lvlJc w:val="left"/>
      <w:pPr>
        <w:ind w:left="1440" w:hanging="1440"/>
      </w:pPr>
      <w:rPr>
        <w:rFonts w:hint="default"/>
        <w:b w:val="0"/>
      </w:rPr>
    </w:lvl>
    <w:lvl w:ilvl="6" w:tentative="0">
      <w:start w:val="1"/>
      <w:numFmt w:val="decimal"/>
      <w:lvlText w:val="%1.%2.%3.%4.%5.%6.%7"/>
      <w:lvlJc w:val="left"/>
      <w:pPr>
        <w:ind w:left="1800" w:hanging="1800"/>
      </w:pPr>
      <w:rPr>
        <w:rFonts w:hint="default"/>
        <w:b w:val="0"/>
      </w:rPr>
    </w:lvl>
    <w:lvl w:ilvl="7" w:tentative="0">
      <w:start w:val="1"/>
      <w:numFmt w:val="decimal"/>
      <w:lvlText w:val="%1.%2.%3.%4.%5.%6.%7.%8"/>
      <w:lvlJc w:val="left"/>
      <w:pPr>
        <w:ind w:left="1800" w:hanging="1800"/>
      </w:pPr>
      <w:rPr>
        <w:rFonts w:hint="default"/>
        <w:b w:val="0"/>
      </w:rPr>
    </w:lvl>
    <w:lvl w:ilvl="8" w:tentative="0">
      <w:start w:val="1"/>
      <w:numFmt w:val="decimal"/>
      <w:lvlText w:val="%1.%2.%3.%4.%5.%6.%7.%8.%9"/>
      <w:lvlJc w:val="left"/>
      <w:pPr>
        <w:ind w:left="2160" w:hanging="2160"/>
      </w:pPr>
      <w:rPr>
        <w:rFonts w:hint="default"/>
        <w:b w:val="0"/>
      </w:rPr>
    </w:lvl>
  </w:abstractNum>
  <w:abstractNum w:abstractNumId="14">
    <w:nsid w:val="37E9328B"/>
    <w:multiLevelType w:val="multilevel"/>
    <w:tmpl w:val="37E9328B"/>
    <w:lvl w:ilvl="0" w:tentative="0">
      <w:start w:val="1"/>
      <w:numFmt w:val="none"/>
      <w:lvlText w:val="2"/>
      <w:lvlJc w:val="left"/>
      <w:pPr>
        <w:tabs>
          <w:tab w:val="left" w:pos="425"/>
        </w:tabs>
        <w:ind w:left="425" w:hanging="425"/>
      </w:pPr>
      <w:rPr>
        <w:rFonts w:hint="eastAsia"/>
      </w:rPr>
    </w:lvl>
    <w:lvl w:ilvl="1" w:tentative="0">
      <w:start w:val="1"/>
      <w:numFmt w:val="decimal"/>
      <w:lvlText w:val="%118.%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3BFD1DC0"/>
    <w:multiLevelType w:val="multilevel"/>
    <w:tmpl w:val="3BFD1DC0"/>
    <w:lvl w:ilvl="0" w:tentative="0">
      <w:start w:val="1"/>
      <w:numFmt w:val="decimal"/>
      <w:lvlText w:val="%1)"/>
      <w:lvlJc w:val="left"/>
      <w:pPr>
        <w:tabs>
          <w:tab w:val="left" w:pos="530"/>
        </w:tabs>
        <w:ind w:left="53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D74E8FB"/>
    <w:multiLevelType w:val="singleLevel"/>
    <w:tmpl w:val="3D74E8FB"/>
    <w:lvl w:ilvl="0" w:tentative="0">
      <w:start w:val="1"/>
      <w:numFmt w:val="chineseCounting"/>
      <w:suff w:val="space"/>
      <w:lvlText w:val="%1、"/>
      <w:lvlJc w:val="left"/>
      <w:rPr>
        <w:rFonts w:hint="eastAsia"/>
      </w:rPr>
    </w:lvl>
  </w:abstractNum>
  <w:abstractNum w:abstractNumId="17">
    <w:nsid w:val="42E210F2"/>
    <w:multiLevelType w:val="multilevel"/>
    <w:tmpl w:val="42E210F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A5D258E"/>
    <w:multiLevelType w:val="multilevel"/>
    <w:tmpl w:val="4A5D258E"/>
    <w:lvl w:ilvl="0" w:tentative="0">
      <w:start w:val="5"/>
      <w:numFmt w:val="decimal"/>
      <w:lvlText w:val="%1."/>
      <w:lvlJc w:val="left"/>
      <w:pPr>
        <w:tabs>
          <w:tab w:val="left" w:pos="2262"/>
        </w:tabs>
        <w:ind w:left="2262" w:hanging="420"/>
      </w:pPr>
      <w:rPr>
        <w:rFonts w:hint="eastAsia" w:ascii="新宋体" w:hAnsi="新宋体" w:eastAsia="新宋体" w:cs="Tahoma"/>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9">
    <w:nsid w:val="4DE33280"/>
    <w:multiLevelType w:val="multilevel"/>
    <w:tmpl w:val="4DE33280"/>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eastAsia" w:ascii="新宋体" w:hAnsi="新宋体" w:eastAsia="新宋体" w:cs="Tahom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0">
    <w:nsid w:val="50CC72CE"/>
    <w:multiLevelType w:val="multilevel"/>
    <w:tmpl w:val="50CC72CE"/>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新宋体" w:hAnsi="新宋体" w:eastAsia="新宋体" w:cs="黑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1">
    <w:nsid w:val="58669075"/>
    <w:multiLevelType w:val="singleLevel"/>
    <w:tmpl w:val="58669075"/>
    <w:lvl w:ilvl="0" w:tentative="0">
      <w:start w:val="1"/>
      <w:numFmt w:val="lowerLetter"/>
      <w:suff w:val="nothing"/>
      <w:lvlText w:val="%1、"/>
      <w:lvlJc w:val="left"/>
    </w:lvl>
  </w:abstractNum>
  <w:abstractNum w:abstractNumId="22">
    <w:nsid w:val="5A5670E1"/>
    <w:multiLevelType w:val="multilevel"/>
    <w:tmpl w:val="5A5670E1"/>
    <w:lvl w:ilvl="0" w:tentative="0">
      <w:start w:val="27"/>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3">
    <w:nsid w:val="5E582130"/>
    <w:multiLevelType w:val="multilevel"/>
    <w:tmpl w:val="5E58213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62313067"/>
    <w:multiLevelType w:val="multilevel"/>
    <w:tmpl w:val="6231306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6E938A8"/>
    <w:multiLevelType w:val="multilevel"/>
    <w:tmpl w:val="66E938A8"/>
    <w:lvl w:ilvl="0" w:tentative="0">
      <w:start w:val="24"/>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6">
    <w:nsid w:val="6F9E3E9C"/>
    <w:multiLevelType w:val="multilevel"/>
    <w:tmpl w:val="6F9E3E9C"/>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736C4813"/>
    <w:multiLevelType w:val="multilevel"/>
    <w:tmpl w:val="736C4813"/>
    <w:lvl w:ilvl="0" w:tentative="0">
      <w:start w:val="1"/>
      <w:numFmt w:val="none"/>
      <w:lvlText w:val="2"/>
      <w:lvlJc w:val="left"/>
      <w:pPr>
        <w:tabs>
          <w:tab w:val="left" w:pos="425"/>
        </w:tabs>
        <w:ind w:left="425" w:hanging="425"/>
      </w:pPr>
      <w:rPr>
        <w:rFonts w:hint="eastAsia"/>
      </w:rPr>
    </w:lvl>
    <w:lvl w:ilvl="1" w:tentative="0">
      <w:start w:val="1"/>
      <w:numFmt w:val="decimal"/>
      <w:lvlText w:val="%110.%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8">
    <w:nsid w:val="76DF1F21"/>
    <w:multiLevelType w:val="multilevel"/>
    <w:tmpl w:val="76DF1F21"/>
    <w:lvl w:ilvl="0" w:tentative="0">
      <w:start w:val="1"/>
      <w:numFmt w:val="none"/>
      <w:lvlText w:val="2"/>
      <w:lvlJc w:val="left"/>
      <w:pPr>
        <w:tabs>
          <w:tab w:val="left" w:pos="425"/>
        </w:tabs>
        <w:ind w:left="425" w:hanging="425"/>
      </w:pPr>
      <w:rPr>
        <w:rFonts w:hint="eastAsia"/>
      </w:rPr>
    </w:lvl>
    <w:lvl w:ilvl="1" w:tentative="0">
      <w:start w:val="1"/>
      <w:numFmt w:val="decimal"/>
      <w:lvlText w:val="%111.%2"/>
      <w:lvlJc w:val="left"/>
      <w:pPr>
        <w:tabs>
          <w:tab w:val="left" w:pos="709"/>
        </w:tabs>
        <w:ind w:left="709" w:hanging="567"/>
      </w:pPr>
      <w:rPr>
        <w:rFonts w:hint="eastAsia" w:ascii="新宋体" w:hAnsi="新宋体" w:eastAsia="新宋体" w:cs="黑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794E7442"/>
    <w:multiLevelType w:val="multilevel"/>
    <w:tmpl w:val="794E7442"/>
    <w:lvl w:ilvl="0" w:tentative="0">
      <w:start w:val="23"/>
      <w:numFmt w:val="decimal"/>
      <w:lvlText w:val="%1"/>
      <w:lvlJc w:val="left"/>
      <w:pPr>
        <w:ind w:left="450" w:hanging="450"/>
      </w:pPr>
      <w:rPr>
        <w:rFonts w:hint="default"/>
      </w:rPr>
    </w:lvl>
    <w:lvl w:ilvl="1" w:tentative="0">
      <w:start w:val="1"/>
      <w:numFmt w:val="decimal"/>
      <w:lvlText w:val="%1.%2"/>
      <w:lvlJc w:val="left"/>
      <w:pPr>
        <w:ind w:left="985" w:hanging="450"/>
      </w:pPr>
      <w:rPr>
        <w:rFonts w:hint="default"/>
      </w:rPr>
    </w:lvl>
    <w:lvl w:ilvl="2" w:tentative="0">
      <w:start w:val="1"/>
      <w:numFmt w:val="decimal"/>
      <w:lvlText w:val="%1.%2.%3"/>
      <w:lvlJc w:val="left"/>
      <w:pPr>
        <w:ind w:left="1790" w:hanging="720"/>
      </w:pPr>
      <w:rPr>
        <w:rFonts w:hint="default"/>
      </w:rPr>
    </w:lvl>
    <w:lvl w:ilvl="3" w:tentative="0">
      <w:start w:val="1"/>
      <w:numFmt w:val="decimal"/>
      <w:lvlText w:val="%1.%2.%3.%4"/>
      <w:lvlJc w:val="left"/>
      <w:pPr>
        <w:ind w:left="2685" w:hanging="1080"/>
      </w:pPr>
      <w:rPr>
        <w:rFonts w:hint="default"/>
      </w:rPr>
    </w:lvl>
    <w:lvl w:ilvl="4" w:tentative="0">
      <w:start w:val="1"/>
      <w:numFmt w:val="decimal"/>
      <w:lvlText w:val="%1.%2.%3.%4.%5"/>
      <w:lvlJc w:val="left"/>
      <w:pPr>
        <w:ind w:left="3220" w:hanging="1080"/>
      </w:pPr>
      <w:rPr>
        <w:rFonts w:hint="default"/>
      </w:rPr>
    </w:lvl>
    <w:lvl w:ilvl="5" w:tentative="0">
      <w:start w:val="1"/>
      <w:numFmt w:val="decimal"/>
      <w:lvlText w:val="%1.%2.%3.%4.%5.%6"/>
      <w:lvlJc w:val="left"/>
      <w:pPr>
        <w:ind w:left="4115" w:hanging="1440"/>
      </w:pPr>
      <w:rPr>
        <w:rFonts w:hint="default"/>
      </w:rPr>
    </w:lvl>
    <w:lvl w:ilvl="6" w:tentative="0">
      <w:start w:val="1"/>
      <w:numFmt w:val="decimal"/>
      <w:lvlText w:val="%1.%2.%3.%4.%5.%6.%7"/>
      <w:lvlJc w:val="left"/>
      <w:pPr>
        <w:ind w:left="4650" w:hanging="1440"/>
      </w:pPr>
      <w:rPr>
        <w:rFonts w:hint="default"/>
      </w:rPr>
    </w:lvl>
    <w:lvl w:ilvl="7" w:tentative="0">
      <w:start w:val="1"/>
      <w:numFmt w:val="decimal"/>
      <w:lvlText w:val="%1.%2.%3.%4.%5.%6.%7.%8"/>
      <w:lvlJc w:val="left"/>
      <w:pPr>
        <w:ind w:left="5545" w:hanging="1800"/>
      </w:pPr>
      <w:rPr>
        <w:rFonts w:hint="default"/>
      </w:rPr>
    </w:lvl>
    <w:lvl w:ilvl="8" w:tentative="0">
      <w:start w:val="1"/>
      <w:numFmt w:val="decimal"/>
      <w:lvlText w:val="%1.%2.%3.%4.%5.%6.%7.%8.%9"/>
      <w:lvlJc w:val="left"/>
      <w:pPr>
        <w:ind w:left="6440" w:hanging="2160"/>
      </w:pPr>
      <w:rPr>
        <w:rFonts w:hint="default"/>
      </w:rPr>
    </w:lvl>
  </w:abstractNum>
  <w:num w:numId="1">
    <w:abstractNumId w:val="0"/>
  </w:num>
  <w:num w:numId="2">
    <w:abstractNumId w:val="8"/>
  </w:num>
  <w:num w:numId="3">
    <w:abstractNumId w:val="2"/>
  </w:num>
  <w:num w:numId="4">
    <w:abstractNumId w:val="9"/>
  </w:num>
  <w:num w:numId="5">
    <w:abstractNumId w:val="18"/>
  </w:num>
  <w:num w:numId="6">
    <w:abstractNumId w:val="19"/>
  </w:num>
  <w:num w:numId="7">
    <w:abstractNumId w:val="27"/>
  </w:num>
  <w:num w:numId="8">
    <w:abstractNumId w:val="15"/>
  </w:num>
  <w:num w:numId="9">
    <w:abstractNumId w:val="28"/>
  </w:num>
  <w:num w:numId="10">
    <w:abstractNumId w:val="6"/>
  </w:num>
  <w:num w:numId="11">
    <w:abstractNumId w:val="5"/>
  </w:num>
  <w:num w:numId="12">
    <w:abstractNumId w:val="24"/>
  </w:num>
  <w:num w:numId="13">
    <w:abstractNumId w:val="20"/>
  </w:num>
  <w:num w:numId="14">
    <w:abstractNumId w:val="7"/>
  </w:num>
  <w:num w:numId="15">
    <w:abstractNumId w:val="26"/>
  </w:num>
  <w:num w:numId="16">
    <w:abstractNumId w:val="3"/>
  </w:num>
  <w:num w:numId="17">
    <w:abstractNumId w:val="23"/>
  </w:num>
  <w:num w:numId="18">
    <w:abstractNumId w:val="4"/>
  </w:num>
  <w:num w:numId="19">
    <w:abstractNumId w:val="14"/>
  </w:num>
  <w:num w:numId="20">
    <w:abstractNumId w:val="12"/>
  </w:num>
  <w:num w:numId="21">
    <w:abstractNumId w:val="11"/>
  </w:num>
  <w:num w:numId="22">
    <w:abstractNumId w:val="17"/>
  </w:num>
  <w:num w:numId="23">
    <w:abstractNumId w:val="29"/>
  </w:num>
  <w:num w:numId="24">
    <w:abstractNumId w:val="25"/>
  </w:num>
  <w:num w:numId="25">
    <w:abstractNumId w:val="22"/>
  </w:num>
  <w:num w:numId="26">
    <w:abstractNumId w:val="13"/>
  </w:num>
  <w:num w:numId="27">
    <w:abstractNumId w:val="16"/>
  </w:num>
  <w:num w:numId="28">
    <w:abstractNumId w:val="1"/>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54"/>
    <w:rsid w:val="000021F0"/>
    <w:rsid w:val="000058B1"/>
    <w:rsid w:val="000217A1"/>
    <w:rsid w:val="00022017"/>
    <w:rsid w:val="0002375D"/>
    <w:rsid w:val="00024551"/>
    <w:rsid w:val="00034F5B"/>
    <w:rsid w:val="00042B85"/>
    <w:rsid w:val="00045B92"/>
    <w:rsid w:val="00046B92"/>
    <w:rsid w:val="00054F1D"/>
    <w:rsid w:val="000554CC"/>
    <w:rsid w:val="00067D8A"/>
    <w:rsid w:val="00067F56"/>
    <w:rsid w:val="000708A2"/>
    <w:rsid w:val="00073909"/>
    <w:rsid w:val="00083406"/>
    <w:rsid w:val="0008700E"/>
    <w:rsid w:val="0009366A"/>
    <w:rsid w:val="00097BF0"/>
    <w:rsid w:val="000A06B2"/>
    <w:rsid w:val="000B064F"/>
    <w:rsid w:val="000B4B24"/>
    <w:rsid w:val="000C466D"/>
    <w:rsid w:val="000C71FC"/>
    <w:rsid w:val="000D2DE3"/>
    <w:rsid w:val="000E1436"/>
    <w:rsid w:val="000E28DA"/>
    <w:rsid w:val="000E30C2"/>
    <w:rsid w:val="000E372A"/>
    <w:rsid w:val="000E5B33"/>
    <w:rsid w:val="000F0C9D"/>
    <w:rsid w:val="000F0CD0"/>
    <w:rsid w:val="000F578E"/>
    <w:rsid w:val="000F6185"/>
    <w:rsid w:val="000F79B1"/>
    <w:rsid w:val="00100974"/>
    <w:rsid w:val="00100F48"/>
    <w:rsid w:val="00102EB5"/>
    <w:rsid w:val="00107463"/>
    <w:rsid w:val="00107ADD"/>
    <w:rsid w:val="00107D78"/>
    <w:rsid w:val="00116F03"/>
    <w:rsid w:val="00123B2E"/>
    <w:rsid w:val="0012473C"/>
    <w:rsid w:val="00132E15"/>
    <w:rsid w:val="0013365C"/>
    <w:rsid w:val="00135AE0"/>
    <w:rsid w:val="00137531"/>
    <w:rsid w:val="00142BB3"/>
    <w:rsid w:val="0014368D"/>
    <w:rsid w:val="0014574B"/>
    <w:rsid w:val="00155BB2"/>
    <w:rsid w:val="001640EA"/>
    <w:rsid w:val="00164662"/>
    <w:rsid w:val="00164FFA"/>
    <w:rsid w:val="00166E54"/>
    <w:rsid w:val="001677F1"/>
    <w:rsid w:val="00170CD5"/>
    <w:rsid w:val="0018010E"/>
    <w:rsid w:val="00182741"/>
    <w:rsid w:val="00182C33"/>
    <w:rsid w:val="00184F5E"/>
    <w:rsid w:val="00185C16"/>
    <w:rsid w:val="00192290"/>
    <w:rsid w:val="001923A8"/>
    <w:rsid w:val="00194675"/>
    <w:rsid w:val="00195C93"/>
    <w:rsid w:val="001A0679"/>
    <w:rsid w:val="001A127F"/>
    <w:rsid w:val="001A1916"/>
    <w:rsid w:val="001A2A95"/>
    <w:rsid w:val="001A4EB9"/>
    <w:rsid w:val="001C27E3"/>
    <w:rsid w:val="001C6150"/>
    <w:rsid w:val="001D1127"/>
    <w:rsid w:val="001D3497"/>
    <w:rsid w:val="001D3F39"/>
    <w:rsid w:val="001D7237"/>
    <w:rsid w:val="001E0D0F"/>
    <w:rsid w:val="001E1682"/>
    <w:rsid w:val="001E3E25"/>
    <w:rsid w:val="001F0E79"/>
    <w:rsid w:val="001F143B"/>
    <w:rsid w:val="001F38EC"/>
    <w:rsid w:val="001F486B"/>
    <w:rsid w:val="001F5C02"/>
    <w:rsid w:val="002005E2"/>
    <w:rsid w:val="00204824"/>
    <w:rsid w:val="00206B8A"/>
    <w:rsid w:val="002071F8"/>
    <w:rsid w:val="00210C80"/>
    <w:rsid w:val="00211CAD"/>
    <w:rsid w:val="00212029"/>
    <w:rsid w:val="00213DAC"/>
    <w:rsid w:val="00223965"/>
    <w:rsid w:val="00233B3A"/>
    <w:rsid w:val="00234323"/>
    <w:rsid w:val="00234665"/>
    <w:rsid w:val="00234D63"/>
    <w:rsid w:val="00236493"/>
    <w:rsid w:val="00236AA2"/>
    <w:rsid w:val="00254B14"/>
    <w:rsid w:val="00256112"/>
    <w:rsid w:val="00266980"/>
    <w:rsid w:val="00272906"/>
    <w:rsid w:val="00283D46"/>
    <w:rsid w:val="002840E3"/>
    <w:rsid w:val="00285CD2"/>
    <w:rsid w:val="00286B52"/>
    <w:rsid w:val="002925E3"/>
    <w:rsid w:val="0029424E"/>
    <w:rsid w:val="002A27B8"/>
    <w:rsid w:val="002A7FCD"/>
    <w:rsid w:val="002B10C8"/>
    <w:rsid w:val="002B24FD"/>
    <w:rsid w:val="002B7FF5"/>
    <w:rsid w:val="002C565A"/>
    <w:rsid w:val="002D2D71"/>
    <w:rsid w:val="002D4251"/>
    <w:rsid w:val="002E1806"/>
    <w:rsid w:val="002E58C8"/>
    <w:rsid w:val="002E667F"/>
    <w:rsid w:val="002F1079"/>
    <w:rsid w:val="002F3518"/>
    <w:rsid w:val="002F37BB"/>
    <w:rsid w:val="002F4F31"/>
    <w:rsid w:val="00300330"/>
    <w:rsid w:val="00306E83"/>
    <w:rsid w:val="00307464"/>
    <w:rsid w:val="003122EE"/>
    <w:rsid w:val="00313A39"/>
    <w:rsid w:val="00314CCF"/>
    <w:rsid w:val="0032233F"/>
    <w:rsid w:val="00332625"/>
    <w:rsid w:val="00332B52"/>
    <w:rsid w:val="00332E1B"/>
    <w:rsid w:val="003344F4"/>
    <w:rsid w:val="003353A4"/>
    <w:rsid w:val="0034162E"/>
    <w:rsid w:val="00345A85"/>
    <w:rsid w:val="00346960"/>
    <w:rsid w:val="003512B6"/>
    <w:rsid w:val="003551CF"/>
    <w:rsid w:val="003603B0"/>
    <w:rsid w:val="00361771"/>
    <w:rsid w:val="00361D85"/>
    <w:rsid w:val="003631D9"/>
    <w:rsid w:val="00365B25"/>
    <w:rsid w:val="00367A3B"/>
    <w:rsid w:val="00371737"/>
    <w:rsid w:val="003874FC"/>
    <w:rsid w:val="00387556"/>
    <w:rsid w:val="0039044E"/>
    <w:rsid w:val="00391566"/>
    <w:rsid w:val="003928E8"/>
    <w:rsid w:val="00395A70"/>
    <w:rsid w:val="00396FEC"/>
    <w:rsid w:val="003972EE"/>
    <w:rsid w:val="003A7920"/>
    <w:rsid w:val="003B190D"/>
    <w:rsid w:val="003B79A9"/>
    <w:rsid w:val="003C2608"/>
    <w:rsid w:val="003C4B6E"/>
    <w:rsid w:val="003C69F0"/>
    <w:rsid w:val="003C75C4"/>
    <w:rsid w:val="003D09F4"/>
    <w:rsid w:val="003D2095"/>
    <w:rsid w:val="003D4E17"/>
    <w:rsid w:val="003D556B"/>
    <w:rsid w:val="003D682B"/>
    <w:rsid w:val="003D7BBC"/>
    <w:rsid w:val="003E105D"/>
    <w:rsid w:val="003E4851"/>
    <w:rsid w:val="003E7F02"/>
    <w:rsid w:val="003F1DFA"/>
    <w:rsid w:val="003F20D8"/>
    <w:rsid w:val="003F4AF9"/>
    <w:rsid w:val="00401E26"/>
    <w:rsid w:val="004029FB"/>
    <w:rsid w:val="00404694"/>
    <w:rsid w:val="00412267"/>
    <w:rsid w:val="0041724F"/>
    <w:rsid w:val="00420AF3"/>
    <w:rsid w:val="00421A24"/>
    <w:rsid w:val="00421C29"/>
    <w:rsid w:val="00422AF7"/>
    <w:rsid w:val="00426C88"/>
    <w:rsid w:val="0042742C"/>
    <w:rsid w:val="00434448"/>
    <w:rsid w:val="004367C7"/>
    <w:rsid w:val="00446B3B"/>
    <w:rsid w:val="004509EA"/>
    <w:rsid w:val="00450BDB"/>
    <w:rsid w:val="00451E22"/>
    <w:rsid w:val="00465C22"/>
    <w:rsid w:val="00467A60"/>
    <w:rsid w:val="004714B0"/>
    <w:rsid w:val="00473673"/>
    <w:rsid w:val="004832F9"/>
    <w:rsid w:val="004962F7"/>
    <w:rsid w:val="00496EE9"/>
    <w:rsid w:val="004974EF"/>
    <w:rsid w:val="004A1BDA"/>
    <w:rsid w:val="004A3C91"/>
    <w:rsid w:val="004A4072"/>
    <w:rsid w:val="004A6765"/>
    <w:rsid w:val="004B3743"/>
    <w:rsid w:val="004C0479"/>
    <w:rsid w:val="004C27E5"/>
    <w:rsid w:val="004C37F5"/>
    <w:rsid w:val="004D40B5"/>
    <w:rsid w:val="004D5F7E"/>
    <w:rsid w:val="004E28EC"/>
    <w:rsid w:val="004E4B7D"/>
    <w:rsid w:val="004E75FD"/>
    <w:rsid w:val="004F1CBB"/>
    <w:rsid w:val="004F3EC5"/>
    <w:rsid w:val="004F5211"/>
    <w:rsid w:val="004F7372"/>
    <w:rsid w:val="00502BD0"/>
    <w:rsid w:val="00505CE5"/>
    <w:rsid w:val="00507CC6"/>
    <w:rsid w:val="005133D7"/>
    <w:rsid w:val="00517D67"/>
    <w:rsid w:val="00520B1C"/>
    <w:rsid w:val="00531422"/>
    <w:rsid w:val="00531C37"/>
    <w:rsid w:val="0053369C"/>
    <w:rsid w:val="005345B9"/>
    <w:rsid w:val="00537271"/>
    <w:rsid w:val="0054308C"/>
    <w:rsid w:val="00543CEE"/>
    <w:rsid w:val="00550479"/>
    <w:rsid w:val="005568C8"/>
    <w:rsid w:val="00560B4C"/>
    <w:rsid w:val="00573839"/>
    <w:rsid w:val="00580502"/>
    <w:rsid w:val="00580DE8"/>
    <w:rsid w:val="00581AA8"/>
    <w:rsid w:val="00583407"/>
    <w:rsid w:val="005918E7"/>
    <w:rsid w:val="0059377A"/>
    <w:rsid w:val="00596F01"/>
    <w:rsid w:val="005A04EE"/>
    <w:rsid w:val="005A1CF7"/>
    <w:rsid w:val="005A2B27"/>
    <w:rsid w:val="005A40C8"/>
    <w:rsid w:val="005A5CAA"/>
    <w:rsid w:val="005A7147"/>
    <w:rsid w:val="005B11F8"/>
    <w:rsid w:val="005B3758"/>
    <w:rsid w:val="005B5335"/>
    <w:rsid w:val="005B7300"/>
    <w:rsid w:val="005B7F7A"/>
    <w:rsid w:val="005C0E75"/>
    <w:rsid w:val="005D0F1C"/>
    <w:rsid w:val="005D1B42"/>
    <w:rsid w:val="005D4EEF"/>
    <w:rsid w:val="005E13CE"/>
    <w:rsid w:val="005E189A"/>
    <w:rsid w:val="005E24CC"/>
    <w:rsid w:val="005E7EF9"/>
    <w:rsid w:val="005F1685"/>
    <w:rsid w:val="005F2F92"/>
    <w:rsid w:val="005F2FBA"/>
    <w:rsid w:val="005F4D94"/>
    <w:rsid w:val="005F5115"/>
    <w:rsid w:val="00601058"/>
    <w:rsid w:val="00605E68"/>
    <w:rsid w:val="006219BE"/>
    <w:rsid w:val="0062771A"/>
    <w:rsid w:val="00627DE3"/>
    <w:rsid w:val="0063070F"/>
    <w:rsid w:val="0064069D"/>
    <w:rsid w:val="00643735"/>
    <w:rsid w:val="0064502D"/>
    <w:rsid w:val="006507C2"/>
    <w:rsid w:val="00652111"/>
    <w:rsid w:val="00653F20"/>
    <w:rsid w:val="00667C06"/>
    <w:rsid w:val="00681AE6"/>
    <w:rsid w:val="006877E9"/>
    <w:rsid w:val="00687AB9"/>
    <w:rsid w:val="006932F9"/>
    <w:rsid w:val="006A1012"/>
    <w:rsid w:val="006A61B2"/>
    <w:rsid w:val="006B246D"/>
    <w:rsid w:val="006B575C"/>
    <w:rsid w:val="006B78A3"/>
    <w:rsid w:val="006C15CC"/>
    <w:rsid w:val="006C5EAA"/>
    <w:rsid w:val="006C7BE0"/>
    <w:rsid w:val="006D2FBB"/>
    <w:rsid w:val="006E1DB4"/>
    <w:rsid w:val="006E3F7B"/>
    <w:rsid w:val="006E7DD7"/>
    <w:rsid w:val="006F0EBA"/>
    <w:rsid w:val="006F5247"/>
    <w:rsid w:val="007010BA"/>
    <w:rsid w:val="00705BA6"/>
    <w:rsid w:val="00711132"/>
    <w:rsid w:val="00721356"/>
    <w:rsid w:val="007240A7"/>
    <w:rsid w:val="0072585F"/>
    <w:rsid w:val="00732753"/>
    <w:rsid w:val="00735CAA"/>
    <w:rsid w:val="007405B8"/>
    <w:rsid w:val="007452B2"/>
    <w:rsid w:val="007467A8"/>
    <w:rsid w:val="00754F08"/>
    <w:rsid w:val="00764587"/>
    <w:rsid w:val="00764AB4"/>
    <w:rsid w:val="00772384"/>
    <w:rsid w:val="007734D0"/>
    <w:rsid w:val="007762AF"/>
    <w:rsid w:val="00780064"/>
    <w:rsid w:val="007838DE"/>
    <w:rsid w:val="00787A65"/>
    <w:rsid w:val="00790BD6"/>
    <w:rsid w:val="00792CFE"/>
    <w:rsid w:val="00794E6F"/>
    <w:rsid w:val="00796ED5"/>
    <w:rsid w:val="007A6FE0"/>
    <w:rsid w:val="007B217D"/>
    <w:rsid w:val="007B2D37"/>
    <w:rsid w:val="007B4FFB"/>
    <w:rsid w:val="007B6A83"/>
    <w:rsid w:val="007C1CB9"/>
    <w:rsid w:val="007C3093"/>
    <w:rsid w:val="007C46CB"/>
    <w:rsid w:val="007C472F"/>
    <w:rsid w:val="007C789F"/>
    <w:rsid w:val="007D5D68"/>
    <w:rsid w:val="007D63DB"/>
    <w:rsid w:val="007D7BF8"/>
    <w:rsid w:val="007E4B4F"/>
    <w:rsid w:val="007F6597"/>
    <w:rsid w:val="008122D0"/>
    <w:rsid w:val="00813D41"/>
    <w:rsid w:val="008257A7"/>
    <w:rsid w:val="0082700F"/>
    <w:rsid w:val="00831840"/>
    <w:rsid w:val="00837113"/>
    <w:rsid w:val="00840B14"/>
    <w:rsid w:val="00845E2F"/>
    <w:rsid w:val="00855E21"/>
    <w:rsid w:val="00856E61"/>
    <w:rsid w:val="00857F16"/>
    <w:rsid w:val="00860648"/>
    <w:rsid w:val="00860BCA"/>
    <w:rsid w:val="00862FDA"/>
    <w:rsid w:val="008631E3"/>
    <w:rsid w:val="008640DA"/>
    <w:rsid w:val="00866EF6"/>
    <w:rsid w:val="00875181"/>
    <w:rsid w:val="00877690"/>
    <w:rsid w:val="00881154"/>
    <w:rsid w:val="00881B41"/>
    <w:rsid w:val="008832D7"/>
    <w:rsid w:val="00883C55"/>
    <w:rsid w:val="00883CA3"/>
    <w:rsid w:val="00896905"/>
    <w:rsid w:val="008A1137"/>
    <w:rsid w:val="008A134A"/>
    <w:rsid w:val="008A28C5"/>
    <w:rsid w:val="008A5B28"/>
    <w:rsid w:val="008A7567"/>
    <w:rsid w:val="008B64FF"/>
    <w:rsid w:val="008B7354"/>
    <w:rsid w:val="008C3918"/>
    <w:rsid w:val="008C3D83"/>
    <w:rsid w:val="008D4457"/>
    <w:rsid w:val="008D57F8"/>
    <w:rsid w:val="008D5DC9"/>
    <w:rsid w:val="008D7B25"/>
    <w:rsid w:val="008E1CC8"/>
    <w:rsid w:val="008F3E95"/>
    <w:rsid w:val="008F4CDB"/>
    <w:rsid w:val="008F6D8B"/>
    <w:rsid w:val="008F739F"/>
    <w:rsid w:val="009153B2"/>
    <w:rsid w:val="00915705"/>
    <w:rsid w:val="009173F1"/>
    <w:rsid w:val="00921B14"/>
    <w:rsid w:val="00922E12"/>
    <w:rsid w:val="0092520B"/>
    <w:rsid w:val="00933A7C"/>
    <w:rsid w:val="00935ADF"/>
    <w:rsid w:val="00936594"/>
    <w:rsid w:val="00936C27"/>
    <w:rsid w:val="00940CC2"/>
    <w:rsid w:val="00945130"/>
    <w:rsid w:val="00947058"/>
    <w:rsid w:val="009518B1"/>
    <w:rsid w:val="009542E9"/>
    <w:rsid w:val="0095547A"/>
    <w:rsid w:val="00957008"/>
    <w:rsid w:val="00964C6E"/>
    <w:rsid w:val="00974AE7"/>
    <w:rsid w:val="00980598"/>
    <w:rsid w:val="00993633"/>
    <w:rsid w:val="009A59F6"/>
    <w:rsid w:val="009A617F"/>
    <w:rsid w:val="009A68FB"/>
    <w:rsid w:val="009A79B9"/>
    <w:rsid w:val="009B05F6"/>
    <w:rsid w:val="009B0E1B"/>
    <w:rsid w:val="009B0E3D"/>
    <w:rsid w:val="009C103B"/>
    <w:rsid w:val="009C2851"/>
    <w:rsid w:val="009C3580"/>
    <w:rsid w:val="009D1237"/>
    <w:rsid w:val="009D5EBB"/>
    <w:rsid w:val="009D7C94"/>
    <w:rsid w:val="009E0E4C"/>
    <w:rsid w:val="009E2407"/>
    <w:rsid w:val="009E35D1"/>
    <w:rsid w:val="009E4F1D"/>
    <w:rsid w:val="009E7F5D"/>
    <w:rsid w:val="009F19CC"/>
    <w:rsid w:val="009F6110"/>
    <w:rsid w:val="009F6E2D"/>
    <w:rsid w:val="00A06E9A"/>
    <w:rsid w:val="00A0749B"/>
    <w:rsid w:val="00A12DF5"/>
    <w:rsid w:val="00A209E8"/>
    <w:rsid w:val="00A21D21"/>
    <w:rsid w:val="00A23E2F"/>
    <w:rsid w:val="00A33D9D"/>
    <w:rsid w:val="00A3720C"/>
    <w:rsid w:val="00A43B23"/>
    <w:rsid w:val="00A50930"/>
    <w:rsid w:val="00A50F16"/>
    <w:rsid w:val="00A55075"/>
    <w:rsid w:val="00A572C6"/>
    <w:rsid w:val="00A6105D"/>
    <w:rsid w:val="00A61F60"/>
    <w:rsid w:val="00A656F5"/>
    <w:rsid w:val="00A70E32"/>
    <w:rsid w:val="00A72ACB"/>
    <w:rsid w:val="00A73207"/>
    <w:rsid w:val="00A7341E"/>
    <w:rsid w:val="00A7663E"/>
    <w:rsid w:val="00A77238"/>
    <w:rsid w:val="00A84B83"/>
    <w:rsid w:val="00A85C24"/>
    <w:rsid w:val="00A8706D"/>
    <w:rsid w:val="00A971FB"/>
    <w:rsid w:val="00AA17DC"/>
    <w:rsid w:val="00AB3E82"/>
    <w:rsid w:val="00AB667D"/>
    <w:rsid w:val="00AB7187"/>
    <w:rsid w:val="00AB72DA"/>
    <w:rsid w:val="00AC258A"/>
    <w:rsid w:val="00AC318E"/>
    <w:rsid w:val="00AC5AFE"/>
    <w:rsid w:val="00AC6A93"/>
    <w:rsid w:val="00AD4ACF"/>
    <w:rsid w:val="00AD5586"/>
    <w:rsid w:val="00AE0498"/>
    <w:rsid w:val="00AE2250"/>
    <w:rsid w:val="00AE3050"/>
    <w:rsid w:val="00AE4EA8"/>
    <w:rsid w:val="00AF0A91"/>
    <w:rsid w:val="00AF32DF"/>
    <w:rsid w:val="00B0113F"/>
    <w:rsid w:val="00B07567"/>
    <w:rsid w:val="00B101CB"/>
    <w:rsid w:val="00B12337"/>
    <w:rsid w:val="00B13048"/>
    <w:rsid w:val="00B13797"/>
    <w:rsid w:val="00B14734"/>
    <w:rsid w:val="00B1566B"/>
    <w:rsid w:val="00B22CDD"/>
    <w:rsid w:val="00B45BB3"/>
    <w:rsid w:val="00B56B73"/>
    <w:rsid w:val="00B57FC0"/>
    <w:rsid w:val="00B639A5"/>
    <w:rsid w:val="00B6489A"/>
    <w:rsid w:val="00B71168"/>
    <w:rsid w:val="00B713EB"/>
    <w:rsid w:val="00B72EFE"/>
    <w:rsid w:val="00B73731"/>
    <w:rsid w:val="00B73CDA"/>
    <w:rsid w:val="00B76292"/>
    <w:rsid w:val="00B811E9"/>
    <w:rsid w:val="00B828D2"/>
    <w:rsid w:val="00B828E6"/>
    <w:rsid w:val="00B8444E"/>
    <w:rsid w:val="00B902A7"/>
    <w:rsid w:val="00B906AD"/>
    <w:rsid w:val="00B94CB6"/>
    <w:rsid w:val="00B9578A"/>
    <w:rsid w:val="00BA1F88"/>
    <w:rsid w:val="00BA4933"/>
    <w:rsid w:val="00BA6AEB"/>
    <w:rsid w:val="00BA7A14"/>
    <w:rsid w:val="00BB0311"/>
    <w:rsid w:val="00BB7212"/>
    <w:rsid w:val="00BC1E51"/>
    <w:rsid w:val="00BC5416"/>
    <w:rsid w:val="00BD211F"/>
    <w:rsid w:val="00BD2D2C"/>
    <w:rsid w:val="00BD3425"/>
    <w:rsid w:val="00BD6FA8"/>
    <w:rsid w:val="00BD78FE"/>
    <w:rsid w:val="00BD79BE"/>
    <w:rsid w:val="00BE12B6"/>
    <w:rsid w:val="00BE1586"/>
    <w:rsid w:val="00BE5174"/>
    <w:rsid w:val="00BE5978"/>
    <w:rsid w:val="00BE68FA"/>
    <w:rsid w:val="00BF12FE"/>
    <w:rsid w:val="00BF289B"/>
    <w:rsid w:val="00BF66F5"/>
    <w:rsid w:val="00C05E19"/>
    <w:rsid w:val="00C07C3C"/>
    <w:rsid w:val="00C11668"/>
    <w:rsid w:val="00C11788"/>
    <w:rsid w:val="00C11CEE"/>
    <w:rsid w:val="00C1422A"/>
    <w:rsid w:val="00C16DE5"/>
    <w:rsid w:val="00C17159"/>
    <w:rsid w:val="00C3120E"/>
    <w:rsid w:val="00C32379"/>
    <w:rsid w:val="00C3482F"/>
    <w:rsid w:val="00C35148"/>
    <w:rsid w:val="00C56C34"/>
    <w:rsid w:val="00C60D9C"/>
    <w:rsid w:val="00C6170D"/>
    <w:rsid w:val="00C628F0"/>
    <w:rsid w:val="00C64391"/>
    <w:rsid w:val="00C65FAB"/>
    <w:rsid w:val="00C71F49"/>
    <w:rsid w:val="00C73641"/>
    <w:rsid w:val="00C75A4B"/>
    <w:rsid w:val="00C76B12"/>
    <w:rsid w:val="00C867AC"/>
    <w:rsid w:val="00CA09B3"/>
    <w:rsid w:val="00CA1FA9"/>
    <w:rsid w:val="00CA4F35"/>
    <w:rsid w:val="00CB0FAC"/>
    <w:rsid w:val="00CB2CDE"/>
    <w:rsid w:val="00CC0F00"/>
    <w:rsid w:val="00CC3197"/>
    <w:rsid w:val="00CC3538"/>
    <w:rsid w:val="00CC4584"/>
    <w:rsid w:val="00CC5F89"/>
    <w:rsid w:val="00CD0830"/>
    <w:rsid w:val="00CD3825"/>
    <w:rsid w:val="00CD5E36"/>
    <w:rsid w:val="00CF2253"/>
    <w:rsid w:val="00CF5EEA"/>
    <w:rsid w:val="00D11AEA"/>
    <w:rsid w:val="00D13D3E"/>
    <w:rsid w:val="00D15ABD"/>
    <w:rsid w:val="00D16EC4"/>
    <w:rsid w:val="00D17023"/>
    <w:rsid w:val="00D220AF"/>
    <w:rsid w:val="00D248F3"/>
    <w:rsid w:val="00D2519A"/>
    <w:rsid w:val="00D267A4"/>
    <w:rsid w:val="00D302B8"/>
    <w:rsid w:val="00D320E2"/>
    <w:rsid w:val="00D34E8C"/>
    <w:rsid w:val="00D544F8"/>
    <w:rsid w:val="00D57502"/>
    <w:rsid w:val="00D634D3"/>
    <w:rsid w:val="00D70561"/>
    <w:rsid w:val="00D72DE1"/>
    <w:rsid w:val="00D75CB8"/>
    <w:rsid w:val="00D84120"/>
    <w:rsid w:val="00D84E6A"/>
    <w:rsid w:val="00D910A1"/>
    <w:rsid w:val="00DB187A"/>
    <w:rsid w:val="00DB2585"/>
    <w:rsid w:val="00DC3894"/>
    <w:rsid w:val="00DC580B"/>
    <w:rsid w:val="00DC6377"/>
    <w:rsid w:val="00DE0345"/>
    <w:rsid w:val="00DE1884"/>
    <w:rsid w:val="00DE20AC"/>
    <w:rsid w:val="00DF3890"/>
    <w:rsid w:val="00DF6D7C"/>
    <w:rsid w:val="00E001FA"/>
    <w:rsid w:val="00E011C2"/>
    <w:rsid w:val="00E06328"/>
    <w:rsid w:val="00E10C80"/>
    <w:rsid w:val="00E11051"/>
    <w:rsid w:val="00E1156D"/>
    <w:rsid w:val="00E130DD"/>
    <w:rsid w:val="00E13D52"/>
    <w:rsid w:val="00E14193"/>
    <w:rsid w:val="00E15A2C"/>
    <w:rsid w:val="00E17B63"/>
    <w:rsid w:val="00E23721"/>
    <w:rsid w:val="00E25099"/>
    <w:rsid w:val="00E26FEF"/>
    <w:rsid w:val="00E327BA"/>
    <w:rsid w:val="00E4392F"/>
    <w:rsid w:val="00E43B0B"/>
    <w:rsid w:val="00E455BB"/>
    <w:rsid w:val="00E56A99"/>
    <w:rsid w:val="00E629AA"/>
    <w:rsid w:val="00E72CB0"/>
    <w:rsid w:val="00E73DD2"/>
    <w:rsid w:val="00E764AE"/>
    <w:rsid w:val="00E8026F"/>
    <w:rsid w:val="00E84D3B"/>
    <w:rsid w:val="00E86FB7"/>
    <w:rsid w:val="00E910B2"/>
    <w:rsid w:val="00E91FFD"/>
    <w:rsid w:val="00E94D23"/>
    <w:rsid w:val="00E96D05"/>
    <w:rsid w:val="00E97331"/>
    <w:rsid w:val="00E9748F"/>
    <w:rsid w:val="00EA0801"/>
    <w:rsid w:val="00EA2D95"/>
    <w:rsid w:val="00EA3DFA"/>
    <w:rsid w:val="00EB08C8"/>
    <w:rsid w:val="00EB2DCE"/>
    <w:rsid w:val="00EC165C"/>
    <w:rsid w:val="00ED2504"/>
    <w:rsid w:val="00ED2966"/>
    <w:rsid w:val="00ED2EA3"/>
    <w:rsid w:val="00EE15D7"/>
    <w:rsid w:val="00EE6F89"/>
    <w:rsid w:val="00EF19D5"/>
    <w:rsid w:val="00EF1F9E"/>
    <w:rsid w:val="00EF2116"/>
    <w:rsid w:val="00EF43BA"/>
    <w:rsid w:val="00F0047E"/>
    <w:rsid w:val="00F006AD"/>
    <w:rsid w:val="00F11B73"/>
    <w:rsid w:val="00F135A0"/>
    <w:rsid w:val="00F15BB3"/>
    <w:rsid w:val="00F16709"/>
    <w:rsid w:val="00F21447"/>
    <w:rsid w:val="00F22AE4"/>
    <w:rsid w:val="00F2375B"/>
    <w:rsid w:val="00F25AB4"/>
    <w:rsid w:val="00F30E48"/>
    <w:rsid w:val="00F34F1A"/>
    <w:rsid w:val="00F3592F"/>
    <w:rsid w:val="00F44AAB"/>
    <w:rsid w:val="00F54668"/>
    <w:rsid w:val="00F54707"/>
    <w:rsid w:val="00F603ED"/>
    <w:rsid w:val="00F60995"/>
    <w:rsid w:val="00F61EB2"/>
    <w:rsid w:val="00F64118"/>
    <w:rsid w:val="00F675F2"/>
    <w:rsid w:val="00F77B2E"/>
    <w:rsid w:val="00F8086C"/>
    <w:rsid w:val="00F81828"/>
    <w:rsid w:val="00F82203"/>
    <w:rsid w:val="00F91C87"/>
    <w:rsid w:val="00F96801"/>
    <w:rsid w:val="00F979A6"/>
    <w:rsid w:val="00FA0419"/>
    <w:rsid w:val="00FA041A"/>
    <w:rsid w:val="00FA56BC"/>
    <w:rsid w:val="00FA6A77"/>
    <w:rsid w:val="00FA6F55"/>
    <w:rsid w:val="00FA7226"/>
    <w:rsid w:val="00FB0F03"/>
    <w:rsid w:val="00FB1847"/>
    <w:rsid w:val="00FC2562"/>
    <w:rsid w:val="00FD003F"/>
    <w:rsid w:val="00FD1F92"/>
    <w:rsid w:val="00FD2377"/>
    <w:rsid w:val="00FD4FFC"/>
    <w:rsid w:val="00FD63AA"/>
    <w:rsid w:val="00FD6C32"/>
    <w:rsid w:val="00FE1349"/>
    <w:rsid w:val="00FE4BC0"/>
    <w:rsid w:val="00FE5756"/>
    <w:rsid w:val="00FF0C5E"/>
    <w:rsid w:val="00FF1C8C"/>
    <w:rsid w:val="00FF2E0A"/>
    <w:rsid w:val="00FF78FA"/>
    <w:rsid w:val="01260872"/>
    <w:rsid w:val="03D33B91"/>
    <w:rsid w:val="040A601E"/>
    <w:rsid w:val="049347F9"/>
    <w:rsid w:val="04987E8F"/>
    <w:rsid w:val="04B80D8B"/>
    <w:rsid w:val="04DE299E"/>
    <w:rsid w:val="05130305"/>
    <w:rsid w:val="05C02E24"/>
    <w:rsid w:val="068D610F"/>
    <w:rsid w:val="0715025C"/>
    <w:rsid w:val="08493411"/>
    <w:rsid w:val="09417D77"/>
    <w:rsid w:val="0967420D"/>
    <w:rsid w:val="0A2B3469"/>
    <w:rsid w:val="0A6246B9"/>
    <w:rsid w:val="0A831B49"/>
    <w:rsid w:val="0B006F8A"/>
    <w:rsid w:val="0BDA6339"/>
    <w:rsid w:val="0C5551B3"/>
    <w:rsid w:val="0CD452A9"/>
    <w:rsid w:val="0DF64FB9"/>
    <w:rsid w:val="0E2A76EE"/>
    <w:rsid w:val="0E972A96"/>
    <w:rsid w:val="0E9840D2"/>
    <w:rsid w:val="0EFF436A"/>
    <w:rsid w:val="0F14718E"/>
    <w:rsid w:val="0F5E0105"/>
    <w:rsid w:val="10243630"/>
    <w:rsid w:val="1033214F"/>
    <w:rsid w:val="11E43838"/>
    <w:rsid w:val="12274729"/>
    <w:rsid w:val="129B54B1"/>
    <w:rsid w:val="12D83F1D"/>
    <w:rsid w:val="133B131F"/>
    <w:rsid w:val="13445934"/>
    <w:rsid w:val="14332C7A"/>
    <w:rsid w:val="14411F76"/>
    <w:rsid w:val="14B770FF"/>
    <w:rsid w:val="153958AB"/>
    <w:rsid w:val="157654AC"/>
    <w:rsid w:val="1609549A"/>
    <w:rsid w:val="16147DB4"/>
    <w:rsid w:val="16443F97"/>
    <w:rsid w:val="16922EFC"/>
    <w:rsid w:val="174E4D08"/>
    <w:rsid w:val="176235A6"/>
    <w:rsid w:val="17FE674E"/>
    <w:rsid w:val="180F5AE9"/>
    <w:rsid w:val="191560BE"/>
    <w:rsid w:val="195D7B4B"/>
    <w:rsid w:val="196507C2"/>
    <w:rsid w:val="1BA37DA3"/>
    <w:rsid w:val="1BBD3CEB"/>
    <w:rsid w:val="1C116DDF"/>
    <w:rsid w:val="1C12571F"/>
    <w:rsid w:val="1C2E525B"/>
    <w:rsid w:val="1D552C4F"/>
    <w:rsid w:val="1D770B21"/>
    <w:rsid w:val="1D8E5078"/>
    <w:rsid w:val="1E463E62"/>
    <w:rsid w:val="1F925E4B"/>
    <w:rsid w:val="1FA931B7"/>
    <w:rsid w:val="201D3AE6"/>
    <w:rsid w:val="21434BDF"/>
    <w:rsid w:val="218675A9"/>
    <w:rsid w:val="22A00EBA"/>
    <w:rsid w:val="22AF3042"/>
    <w:rsid w:val="2370601E"/>
    <w:rsid w:val="24703145"/>
    <w:rsid w:val="25D01075"/>
    <w:rsid w:val="25F029A4"/>
    <w:rsid w:val="26AB4FBE"/>
    <w:rsid w:val="285402FF"/>
    <w:rsid w:val="28833647"/>
    <w:rsid w:val="29ED5800"/>
    <w:rsid w:val="2A071A6A"/>
    <w:rsid w:val="2A0E2A57"/>
    <w:rsid w:val="2A447F5D"/>
    <w:rsid w:val="2AAA6582"/>
    <w:rsid w:val="2AF31AF6"/>
    <w:rsid w:val="2B51352D"/>
    <w:rsid w:val="2BF336B7"/>
    <w:rsid w:val="2BFC6A26"/>
    <w:rsid w:val="2C2219CC"/>
    <w:rsid w:val="2DE07CBC"/>
    <w:rsid w:val="2E552A46"/>
    <w:rsid w:val="2E7558B9"/>
    <w:rsid w:val="2EE847E8"/>
    <w:rsid w:val="2F0035A1"/>
    <w:rsid w:val="2F4C3AE0"/>
    <w:rsid w:val="2F975782"/>
    <w:rsid w:val="2FC54413"/>
    <w:rsid w:val="306E57BC"/>
    <w:rsid w:val="31303BE4"/>
    <w:rsid w:val="313771A0"/>
    <w:rsid w:val="31C116CF"/>
    <w:rsid w:val="31C57260"/>
    <w:rsid w:val="322259D5"/>
    <w:rsid w:val="329A7BC3"/>
    <w:rsid w:val="32C4456D"/>
    <w:rsid w:val="33566EB0"/>
    <w:rsid w:val="3383457A"/>
    <w:rsid w:val="345E1CD4"/>
    <w:rsid w:val="349B77E1"/>
    <w:rsid w:val="34E96BA9"/>
    <w:rsid w:val="35557A05"/>
    <w:rsid w:val="35B21F01"/>
    <w:rsid w:val="35B6504C"/>
    <w:rsid w:val="35C56484"/>
    <w:rsid w:val="36BC3E0E"/>
    <w:rsid w:val="370B10AA"/>
    <w:rsid w:val="38DB48DE"/>
    <w:rsid w:val="390C68BF"/>
    <w:rsid w:val="39E3000F"/>
    <w:rsid w:val="3A5E5D7A"/>
    <w:rsid w:val="3ABB5820"/>
    <w:rsid w:val="3B7A2FB1"/>
    <w:rsid w:val="3B7B0A53"/>
    <w:rsid w:val="3C381F9C"/>
    <w:rsid w:val="3C6E68D0"/>
    <w:rsid w:val="3CF5107B"/>
    <w:rsid w:val="3DAC0905"/>
    <w:rsid w:val="3DC37250"/>
    <w:rsid w:val="3E690EA7"/>
    <w:rsid w:val="3E7906CB"/>
    <w:rsid w:val="3E9655C6"/>
    <w:rsid w:val="3EB5657E"/>
    <w:rsid w:val="3EBF529B"/>
    <w:rsid w:val="3F286BCB"/>
    <w:rsid w:val="40396862"/>
    <w:rsid w:val="41087C00"/>
    <w:rsid w:val="4163710E"/>
    <w:rsid w:val="418B2149"/>
    <w:rsid w:val="41BE54FF"/>
    <w:rsid w:val="421B1581"/>
    <w:rsid w:val="42455F12"/>
    <w:rsid w:val="435B7265"/>
    <w:rsid w:val="43841799"/>
    <w:rsid w:val="43F80688"/>
    <w:rsid w:val="441B493D"/>
    <w:rsid w:val="44455D28"/>
    <w:rsid w:val="44A370C0"/>
    <w:rsid w:val="44E97ABA"/>
    <w:rsid w:val="454242C0"/>
    <w:rsid w:val="45D8493D"/>
    <w:rsid w:val="45EB0432"/>
    <w:rsid w:val="45F8579E"/>
    <w:rsid w:val="46113814"/>
    <w:rsid w:val="46EB7FB1"/>
    <w:rsid w:val="474D5A81"/>
    <w:rsid w:val="47E9737A"/>
    <w:rsid w:val="48513972"/>
    <w:rsid w:val="48762EBE"/>
    <w:rsid w:val="489B30AF"/>
    <w:rsid w:val="48A16897"/>
    <w:rsid w:val="48F51AE8"/>
    <w:rsid w:val="490C3487"/>
    <w:rsid w:val="494172AF"/>
    <w:rsid w:val="49455094"/>
    <w:rsid w:val="49652CFE"/>
    <w:rsid w:val="49EC5D98"/>
    <w:rsid w:val="4A4E55B5"/>
    <w:rsid w:val="4A5979FC"/>
    <w:rsid w:val="4C02585B"/>
    <w:rsid w:val="4C466E0C"/>
    <w:rsid w:val="4C615E38"/>
    <w:rsid w:val="4CF2017A"/>
    <w:rsid w:val="4D354E11"/>
    <w:rsid w:val="4D692157"/>
    <w:rsid w:val="4DE578DC"/>
    <w:rsid w:val="4EF6626D"/>
    <w:rsid w:val="4FA500DB"/>
    <w:rsid w:val="4FC914FF"/>
    <w:rsid w:val="50035330"/>
    <w:rsid w:val="50CA7950"/>
    <w:rsid w:val="50D41E17"/>
    <w:rsid w:val="510705C2"/>
    <w:rsid w:val="51745628"/>
    <w:rsid w:val="519438D2"/>
    <w:rsid w:val="5262152D"/>
    <w:rsid w:val="52966C97"/>
    <w:rsid w:val="530C7CF7"/>
    <w:rsid w:val="53745D32"/>
    <w:rsid w:val="537B6946"/>
    <w:rsid w:val="538B4CDB"/>
    <w:rsid w:val="53CD1C4E"/>
    <w:rsid w:val="53F66EAD"/>
    <w:rsid w:val="547E1377"/>
    <w:rsid w:val="54C44798"/>
    <w:rsid w:val="54CF47E6"/>
    <w:rsid w:val="55100389"/>
    <w:rsid w:val="55456B91"/>
    <w:rsid w:val="55543934"/>
    <w:rsid w:val="557F6BFD"/>
    <w:rsid w:val="559848BE"/>
    <w:rsid w:val="55B55567"/>
    <w:rsid w:val="55C5792D"/>
    <w:rsid w:val="55DF0658"/>
    <w:rsid w:val="56B30D16"/>
    <w:rsid w:val="56E91597"/>
    <w:rsid w:val="57507DB4"/>
    <w:rsid w:val="57913636"/>
    <w:rsid w:val="57A1030A"/>
    <w:rsid w:val="57CF4E31"/>
    <w:rsid w:val="580D7CDC"/>
    <w:rsid w:val="5811590B"/>
    <w:rsid w:val="58683DE7"/>
    <w:rsid w:val="58A67EBC"/>
    <w:rsid w:val="58F11EFF"/>
    <w:rsid w:val="58F86822"/>
    <w:rsid w:val="59060EC4"/>
    <w:rsid w:val="590902DB"/>
    <w:rsid w:val="591419AB"/>
    <w:rsid w:val="598B1058"/>
    <w:rsid w:val="59E57FD2"/>
    <w:rsid w:val="5A9C6C45"/>
    <w:rsid w:val="5AAE0C80"/>
    <w:rsid w:val="5AC7463D"/>
    <w:rsid w:val="5AF30E1E"/>
    <w:rsid w:val="5B2C1B00"/>
    <w:rsid w:val="5B52454A"/>
    <w:rsid w:val="5D435C51"/>
    <w:rsid w:val="5D5E4DEF"/>
    <w:rsid w:val="5D675C36"/>
    <w:rsid w:val="5D7564AE"/>
    <w:rsid w:val="5E0F2965"/>
    <w:rsid w:val="5EC02631"/>
    <w:rsid w:val="5F345E39"/>
    <w:rsid w:val="5FD909FB"/>
    <w:rsid w:val="608A12D2"/>
    <w:rsid w:val="60F02E14"/>
    <w:rsid w:val="61044D0C"/>
    <w:rsid w:val="613F2AB2"/>
    <w:rsid w:val="614F4800"/>
    <w:rsid w:val="61827AFD"/>
    <w:rsid w:val="61934B41"/>
    <w:rsid w:val="61D10967"/>
    <w:rsid w:val="623E56F3"/>
    <w:rsid w:val="62E91C45"/>
    <w:rsid w:val="632D13E8"/>
    <w:rsid w:val="6360515D"/>
    <w:rsid w:val="63621794"/>
    <w:rsid w:val="64D624B6"/>
    <w:rsid w:val="64DE11A3"/>
    <w:rsid w:val="64F304CB"/>
    <w:rsid w:val="655D2736"/>
    <w:rsid w:val="6689651A"/>
    <w:rsid w:val="66F12A53"/>
    <w:rsid w:val="67BF7A43"/>
    <w:rsid w:val="67CC64C6"/>
    <w:rsid w:val="683E2D49"/>
    <w:rsid w:val="686F7FBC"/>
    <w:rsid w:val="689C0D30"/>
    <w:rsid w:val="68B119F3"/>
    <w:rsid w:val="68E84C14"/>
    <w:rsid w:val="697C0DBC"/>
    <w:rsid w:val="6A1932DB"/>
    <w:rsid w:val="6AD6734C"/>
    <w:rsid w:val="6B0B0512"/>
    <w:rsid w:val="6B1D586A"/>
    <w:rsid w:val="6C3F0A0F"/>
    <w:rsid w:val="6CC84D62"/>
    <w:rsid w:val="6CF11D63"/>
    <w:rsid w:val="6E4759BC"/>
    <w:rsid w:val="6F332174"/>
    <w:rsid w:val="6F697468"/>
    <w:rsid w:val="6FCA3689"/>
    <w:rsid w:val="70285366"/>
    <w:rsid w:val="705203E8"/>
    <w:rsid w:val="71420819"/>
    <w:rsid w:val="71494F31"/>
    <w:rsid w:val="71C4455E"/>
    <w:rsid w:val="72E9424F"/>
    <w:rsid w:val="736B1D70"/>
    <w:rsid w:val="7399041D"/>
    <w:rsid w:val="75A90B0E"/>
    <w:rsid w:val="789616BC"/>
    <w:rsid w:val="78CE661A"/>
    <w:rsid w:val="78D20389"/>
    <w:rsid w:val="79482650"/>
    <w:rsid w:val="79A1057A"/>
    <w:rsid w:val="79AF1BEF"/>
    <w:rsid w:val="79D547EB"/>
    <w:rsid w:val="7A430584"/>
    <w:rsid w:val="7A9D5162"/>
    <w:rsid w:val="7AE26BAF"/>
    <w:rsid w:val="7B1F6582"/>
    <w:rsid w:val="7B263822"/>
    <w:rsid w:val="7B7D5ED6"/>
    <w:rsid w:val="7B995CA3"/>
    <w:rsid w:val="7C2617F6"/>
    <w:rsid w:val="7D005F27"/>
    <w:rsid w:val="7DFC6781"/>
    <w:rsid w:val="7F49013B"/>
    <w:rsid w:val="7F707BB3"/>
    <w:rsid w:val="7FC8725A"/>
    <w:rsid w:val="7FE21F68"/>
    <w:rsid w:val="7FFF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2"/>
    <w:qFormat/>
    <w:uiPriority w:val="0"/>
    <w:pPr>
      <w:keepNext/>
      <w:jc w:val="center"/>
      <w:outlineLvl w:val="0"/>
    </w:pPr>
    <w:rPr>
      <w:rFonts w:ascii="长城仿宋" w:eastAsia="长城仿宋"/>
      <w:b/>
      <w:bCs/>
    </w:rPr>
  </w:style>
  <w:style w:type="paragraph" w:styleId="5">
    <w:name w:val="heading 2"/>
    <w:basedOn w:val="1"/>
    <w:next w:val="6"/>
    <w:link w:val="43"/>
    <w:qFormat/>
    <w:uiPriority w:val="0"/>
    <w:pPr>
      <w:keepNext/>
      <w:keepLines/>
      <w:spacing w:before="260" w:after="260" w:line="416" w:lineRule="auto"/>
      <w:outlineLvl w:val="1"/>
    </w:pPr>
    <w:rPr>
      <w:rFonts w:ascii="黑体" w:hAnsi="黑体" w:eastAsia="Tahoma"/>
      <w:b/>
      <w:bCs/>
      <w:sz w:val="32"/>
      <w:szCs w:val="32"/>
    </w:rPr>
  </w:style>
  <w:style w:type="paragraph" w:styleId="7">
    <w:name w:val="heading 3"/>
    <w:basedOn w:val="1"/>
    <w:next w:val="6"/>
    <w:link w:val="44"/>
    <w:qFormat/>
    <w:uiPriority w:val="0"/>
    <w:pPr>
      <w:keepNext/>
      <w:outlineLvl w:val="2"/>
    </w:pPr>
    <w:rPr>
      <w:b/>
      <w:sz w:val="28"/>
      <w:szCs w:val="20"/>
    </w:rPr>
  </w:style>
  <w:style w:type="paragraph" w:styleId="8">
    <w:name w:val="heading 4"/>
    <w:basedOn w:val="1"/>
    <w:next w:val="1"/>
    <w:link w:val="45"/>
    <w:qFormat/>
    <w:uiPriority w:val="0"/>
    <w:pPr>
      <w:keepNext/>
      <w:keepLines/>
      <w:spacing w:before="280" w:after="290" w:line="376" w:lineRule="auto"/>
      <w:outlineLvl w:val="3"/>
    </w:pPr>
    <w:rPr>
      <w:rFonts w:ascii="Cambria" w:hAnsi="Cambria"/>
      <w:b/>
      <w:bCs/>
      <w:sz w:val="28"/>
      <w:szCs w:val="28"/>
    </w:rPr>
  </w:style>
  <w:style w:type="paragraph" w:styleId="9">
    <w:name w:val="heading 5"/>
    <w:basedOn w:val="1"/>
    <w:next w:val="1"/>
    <w:qFormat/>
    <w:uiPriority w:val="99"/>
    <w:pPr>
      <w:keepNext/>
      <w:keepLines/>
      <w:spacing w:before="280" w:after="290" w:line="372" w:lineRule="auto"/>
      <w:outlineLvl w:val="4"/>
    </w:pPr>
    <w:rPr>
      <w:rFonts w:ascii="仿宋_GB2312" w:hAnsi="Tahoma"/>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link w:val="51"/>
    <w:qFormat/>
    <w:uiPriority w:val="0"/>
    <w:pPr>
      <w:ind w:left="480" w:hanging="480" w:hangingChars="200"/>
    </w:pPr>
    <w:rPr>
      <w:sz w:val="24"/>
    </w:rPr>
  </w:style>
  <w:style w:type="paragraph" w:styleId="6">
    <w:name w:val="Normal Indent"/>
    <w:basedOn w:val="1"/>
    <w:link w:val="60"/>
    <w:qFormat/>
    <w:uiPriority w:val="0"/>
    <w:pPr>
      <w:adjustRightInd w:val="0"/>
      <w:spacing w:line="312" w:lineRule="atLeast"/>
      <w:ind w:firstLine="420"/>
      <w:textAlignment w:val="baseline"/>
    </w:pPr>
    <w:rPr>
      <w:rFonts w:eastAsia="Wingdings" w:asciiTheme="minorHAnsi" w:hAnsiTheme="minorHAnsi" w:cstheme="minorBidi"/>
      <w:szCs w:val="22"/>
    </w:rPr>
  </w:style>
  <w:style w:type="paragraph" w:styleId="10">
    <w:name w:val="Note Heading"/>
    <w:basedOn w:val="1"/>
    <w:next w:val="1"/>
    <w:link w:val="48"/>
    <w:qFormat/>
    <w:uiPriority w:val="0"/>
    <w:pPr>
      <w:spacing w:beforeLines="20" w:afterLines="50"/>
      <w:jc w:val="center"/>
    </w:pPr>
    <w:rPr>
      <w:rFonts w:ascii="Calibri" w:hAnsi="Calibri" w:eastAsiaTheme="minorEastAsia"/>
      <w:sz w:val="24"/>
    </w:rPr>
  </w:style>
  <w:style w:type="paragraph" w:styleId="11">
    <w:name w:val="Document Map"/>
    <w:basedOn w:val="1"/>
    <w:link w:val="49"/>
    <w:qFormat/>
    <w:uiPriority w:val="0"/>
    <w:rPr>
      <w:rFonts w:ascii="宋体" w:hAnsiTheme="minorHAnsi" w:eastAsiaTheme="minorEastAsia" w:cstheme="minorBidi"/>
      <w:sz w:val="18"/>
      <w:szCs w:val="18"/>
    </w:rPr>
  </w:style>
  <w:style w:type="paragraph" w:styleId="12">
    <w:name w:val="annotation text"/>
    <w:basedOn w:val="1"/>
    <w:link w:val="46"/>
    <w:unhideWhenUsed/>
    <w:qFormat/>
    <w:uiPriority w:val="0"/>
    <w:pPr>
      <w:jc w:val="left"/>
    </w:pPr>
  </w:style>
  <w:style w:type="paragraph" w:styleId="13">
    <w:name w:val="Body Text"/>
    <w:basedOn w:val="1"/>
    <w:next w:val="14"/>
    <w:link w:val="50"/>
    <w:qFormat/>
    <w:uiPriority w:val="0"/>
    <w:pPr>
      <w:spacing w:after="120"/>
    </w:pPr>
    <w:rPr>
      <w:rFonts w:eastAsiaTheme="minorEastAsia"/>
    </w:rPr>
  </w:style>
  <w:style w:type="paragraph" w:styleId="14">
    <w:name w:val="Body Text First Indent"/>
    <w:basedOn w:val="13"/>
    <w:next w:val="15"/>
    <w:qFormat/>
    <w:uiPriority w:val="0"/>
    <w:pPr>
      <w:autoSpaceDE w:val="0"/>
      <w:autoSpaceDN w:val="0"/>
      <w:adjustRightInd w:val="0"/>
      <w:ind w:firstLine="420" w:firstLineChars="100"/>
      <w:jc w:val="left"/>
    </w:pPr>
    <w:rPr>
      <w:kern w:val="0"/>
      <w:sz w:val="20"/>
      <w:szCs w:val="20"/>
    </w:rPr>
  </w:style>
  <w:style w:type="paragraph" w:styleId="15">
    <w:name w:val="toc 6"/>
    <w:basedOn w:val="1"/>
    <w:next w:val="1"/>
    <w:semiHidden/>
    <w:qFormat/>
    <w:uiPriority w:val="0"/>
    <w:pPr>
      <w:ind w:left="1050"/>
      <w:jc w:val="left"/>
    </w:pPr>
    <w:rPr>
      <w:sz w:val="18"/>
      <w:szCs w:val="18"/>
    </w:rPr>
  </w:style>
  <w:style w:type="paragraph" w:styleId="16">
    <w:name w:val="Block Text"/>
    <w:basedOn w:val="1"/>
    <w:qFormat/>
    <w:uiPriority w:val="99"/>
    <w:pPr>
      <w:spacing w:after="120"/>
      <w:ind w:left="1440" w:leftChars="700" w:right="1440" w:rightChars="700"/>
    </w:pPr>
    <w:rPr>
      <w:szCs w:val="22"/>
    </w:rPr>
  </w:style>
  <w:style w:type="paragraph" w:styleId="17">
    <w:name w:val="List Bullet 2"/>
    <w:basedOn w:val="1"/>
    <w:unhideWhenUsed/>
    <w:qFormat/>
    <w:uiPriority w:val="99"/>
    <w:pPr>
      <w:numPr>
        <w:ilvl w:val="0"/>
        <w:numId w:val="1"/>
      </w:numPr>
    </w:pPr>
  </w:style>
  <w:style w:type="paragraph" w:styleId="18">
    <w:name w:val="Plain Text"/>
    <w:basedOn w:val="1"/>
    <w:link w:val="68"/>
    <w:qFormat/>
    <w:uiPriority w:val="0"/>
    <w:pPr>
      <w:widowControl/>
      <w:overflowPunct w:val="0"/>
      <w:autoSpaceDE w:val="0"/>
      <w:autoSpaceDN w:val="0"/>
      <w:adjustRightInd w:val="0"/>
      <w:jc w:val="left"/>
      <w:textAlignment w:val="baseline"/>
    </w:pPr>
    <w:rPr>
      <w:rFonts w:ascii="Wingdings" w:hAnsi="长城仿宋" w:eastAsia="Wingdings" w:cstheme="minorBidi"/>
      <w:szCs w:val="21"/>
    </w:rPr>
  </w:style>
  <w:style w:type="paragraph" w:styleId="19">
    <w:name w:val="Date"/>
    <w:basedOn w:val="1"/>
    <w:next w:val="1"/>
    <w:link w:val="53"/>
    <w:qFormat/>
    <w:uiPriority w:val="0"/>
    <w:pPr>
      <w:ind w:left="100" w:leftChars="2500"/>
    </w:pPr>
    <w:rPr>
      <w:szCs w:val="20"/>
    </w:rPr>
  </w:style>
  <w:style w:type="paragraph" w:styleId="20">
    <w:name w:val="Body Text Indent 2"/>
    <w:basedOn w:val="1"/>
    <w:link w:val="54"/>
    <w:qFormat/>
    <w:uiPriority w:val="0"/>
    <w:pPr>
      <w:spacing w:line="500" w:lineRule="exact"/>
      <w:ind w:firstLine="511" w:firstLineChars="213"/>
    </w:pPr>
    <w:rPr>
      <w:sz w:val="24"/>
    </w:rPr>
  </w:style>
  <w:style w:type="paragraph" w:styleId="21">
    <w:name w:val="Balloon Text"/>
    <w:basedOn w:val="1"/>
    <w:link w:val="55"/>
    <w:qFormat/>
    <w:uiPriority w:val="0"/>
    <w:rPr>
      <w:sz w:val="18"/>
      <w:szCs w:val="18"/>
    </w:rPr>
  </w:style>
  <w:style w:type="paragraph" w:styleId="22">
    <w:name w:val="footer"/>
    <w:basedOn w:val="1"/>
    <w:next w:val="23"/>
    <w:link w:val="41"/>
    <w:unhideWhenUsed/>
    <w:qFormat/>
    <w:uiPriority w:val="99"/>
    <w:pPr>
      <w:tabs>
        <w:tab w:val="center" w:pos="4153"/>
        <w:tab w:val="right" w:pos="8306"/>
      </w:tabs>
      <w:snapToGrid w:val="0"/>
      <w:jc w:val="left"/>
    </w:pPr>
    <w:rPr>
      <w:sz w:val="18"/>
      <w:szCs w:val="18"/>
    </w:rPr>
  </w:style>
  <w:style w:type="paragraph" w:styleId="23">
    <w:name w:val="toc 2"/>
    <w:basedOn w:val="1"/>
    <w:next w:val="1"/>
    <w:qFormat/>
    <w:uiPriority w:val="39"/>
    <w:pPr>
      <w:ind w:left="420" w:leftChars="200"/>
    </w:pPr>
  </w:style>
  <w:style w:type="paragraph" w:styleId="24">
    <w:name w:val="header"/>
    <w:basedOn w:val="1"/>
    <w:next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061"/>
      </w:tabs>
      <w:spacing w:line="480" w:lineRule="auto"/>
      <w:ind w:left="358" w:hanging="358" w:hangingChars="128"/>
    </w:pPr>
  </w:style>
  <w:style w:type="paragraph" w:styleId="26">
    <w:name w:val="Body Text Indent 3"/>
    <w:basedOn w:val="1"/>
    <w:link w:val="56"/>
    <w:qFormat/>
    <w:uiPriority w:val="0"/>
    <w:pPr>
      <w:spacing w:after="120"/>
      <w:ind w:left="420" w:leftChars="200"/>
    </w:pPr>
    <w:rPr>
      <w:sz w:val="16"/>
      <w:szCs w:val="16"/>
    </w:rPr>
  </w:style>
  <w:style w:type="paragraph" w:styleId="27">
    <w:name w:val="Normal (Web)"/>
    <w:basedOn w:val="1"/>
    <w:qFormat/>
    <w:uiPriority w:val="0"/>
    <w:pPr>
      <w:widowControl/>
      <w:spacing w:before="100" w:beforeAutospacing="1" w:after="100" w:afterAutospacing="1"/>
      <w:jc w:val="left"/>
    </w:pPr>
    <w:rPr>
      <w:rFonts w:ascii="Wingdings" w:hAnsi="Wingdings" w:cs="Wingdings"/>
      <w:kern w:val="0"/>
      <w:sz w:val="24"/>
    </w:rPr>
  </w:style>
  <w:style w:type="paragraph" w:styleId="28">
    <w:name w:val="Title"/>
    <w:basedOn w:val="1"/>
    <w:link w:val="57"/>
    <w:qFormat/>
    <w:uiPriority w:val="0"/>
    <w:pPr>
      <w:spacing w:before="240" w:after="60"/>
      <w:jc w:val="center"/>
      <w:outlineLvl w:val="0"/>
    </w:pPr>
    <w:rPr>
      <w:rFonts w:ascii="Arial" w:hAnsi="Arial" w:eastAsia="Times New Roman"/>
      <w:sz w:val="32"/>
      <w:szCs w:val="32"/>
    </w:rPr>
  </w:style>
  <w:style w:type="paragraph" w:styleId="29">
    <w:name w:val="annotation subject"/>
    <w:basedOn w:val="12"/>
    <w:next w:val="12"/>
    <w:link w:val="47"/>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rPr>
  </w:style>
  <w:style w:type="character" w:styleId="34">
    <w:name w:val="page number"/>
    <w:basedOn w:val="32"/>
    <w:qFormat/>
    <w:uiPriority w:val="0"/>
    <w:rPr>
      <w:rFonts w:ascii="Times New Roman" w:hAnsi="Times New Roman" w:cs="Times New Roman"/>
      <w:sz w:val="21"/>
      <w:szCs w:val="24"/>
    </w:rPr>
  </w:style>
  <w:style w:type="character" w:styleId="35">
    <w:name w:val="FollowedHyperlink"/>
    <w:qFormat/>
    <w:uiPriority w:val="0"/>
    <w:rPr>
      <w:rFonts w:ascii="Times New Roman" w:hAnsi="Times New Roman" w:cs="Times New Roman"/>
      <w:color w:val="0052B8"/>
      <w:sz w:val="18"/>
      <w:szCs w:val="18"/>
      <w:u w:val="none"/>
    </w:rPr>
  </w:style>
  <w:style w:type="character" w:styleId="36">
    <w:name w:val="Hyperlink"/>
    <w:qFormat/>
    <w:uiPriority w:val="99"/>
    <w:rPr>
      <w:rFonts w:ascii="Times New Roman" w:hAnsi="Times New Roman" w:cs="Times New Roman"/>
      <w:color w:val="0052B8"/>
      <w:sz w:val="18"/>
      <w:szCs w:val="18"/>
      <w:u w:val="none"/>
    </w:rPr>
  </w:style>
  <w:style w:type="character" w:styleId="37">
    <w:name w:val="HTML Code"/>
    <w:qFormat/>
    <w:uiPriority w:val="0"/>
    <w:rPr>
      <w:rFonts w:ascii="Courier New" w:hAnsi="Courier New" w:cs="Times New Roman"/>
      <w:sz w:val="20"/>
      <w:szCs w:val="24"/>
    </w:rPr>
  </w:style>
  <w:style w:type="character" w:styleId="38">
    <w:name w:val="annotation reference"/>
    <w:qFormat/>
    <w:uiPriority w:val="0"/>
    <w:rPr>
      <w:sz w:val="21"/>
      <w:szCs w:val="21"/>
    </w:rPr>
  </w:style>
  <w:style w:type="paragraph" w:customStyle="1" w:styleId="39">
    <w:name w:val="表格文字"/>
    <w:basedOn w:val="1"/>
    <w:next w:val="13"/>
    <w:qFormat/>
    <w:uiPriority w:val="0"/>
    <w:pPr>
      <w:adjustRightInd w:val="0"/>
      <w:spacing w:line="420" w:lineRule="atLeast"/>
      <w:jc w:val="left"/>
      <w:textAlignment w:val="baseline"/>
    </w:pPr>
    <w:rPr>
      <w:kern w:val="0"/>
      <w:szCs w:val="20"/>
    </w:rPr>
  </w:style>
  <w:style w:type="character" w:customStyle="1" w:styleId="40">
    <w:name w:val="页眉 字符"/>
    <w:basedOn w:val="32"/>
    <w:link w:val="24"/>
    <w:qFormat/>
    <w:uiPriority w:val="0"/>
    <w:rPr>
      <w:sz w:val="18"/>
      <w:szCs w:val="18"/>
    </w:rPr>
  </w:style>
  <w:style w:type="character" w:customStyle="1" w:styleId="41">
    <w:name w:val="页脚 字符"/>
    <w:basedOn w:val="32"/>
    <w:link w:val="22"/>
    <w:qFormat/>
    <w:uiPriority w:val="99"/>
    <w:rPr>
      <w:sz w:val="18"/>
      <w:szCs w:val="18"/>
    </w:rPr>
  </w:style>
  <w:style w:type="character" w:customStyle="1" w:styleId="42">
    <w:name w:val="标题 1 字符"/>
    <w:basedOn w:val="32"/>
    <w:link w:val="4"/>
    <w:qFormat/>
    <w:uiPriority w:val="0"/>
    <w:rPr>
      <w:rFonts w:ascii="长城仿宋" w:hAnsi="Times New Roman" w:eastAsia="长城仿宋" w:cs="Times New Roman"/>
      <w:b/>
      <w:bCs/>
      <w:szCs w:val="24"/>
    </w:rPr>
  </w:style>
  <w:style w:type="character" w:customStyle="1" w:styleId="43">
    <w:name w:val="标题 2 字符"/>
    <w:basedOn w:val="32"/>
    <w:link w:val="5"/>
    <w:qFormat/>
    <w:uiPriority w:val="0"/>
    <w:rPr>
      <w:rFonts w:ascii="黑体" w:hAnsi="黑体" w:eastAsia="Tahoma" w:cs="Times New Roman"/>
      <w:b/>
      <w:bCs/>
      <w:sz w:val="32"/>
      <w:szCs w:val="32"/>
    </w:rPr>
  </w:style>
  <w:style w:type="character" w:customStyle="1" w:styleId="44">
    <w:name w:val="标题 3 字符"/>
    <w:basedOn w:val="32"/>
    <w:link w:val="7"/>
    <w:qFormat/>
    <w:uiPriority w:val="0"/>
    <w:rPr>
      <w:rFonts w:ascii="Times New Roman" w:hAnsi="Times New Roman" w:eastAsia="宋体" w:cs="Times New Roman"/>
      <w:b/>
      <w:sz w:val="28"/>
      <w:szCs w:val="20"/>
    </w:rPr>
  </w:style>
  <w:style w:type="character" w:customStyle="1" w:styleId="45">
    <w:name w:val="标题 4 字符"/>
    <w:basedOn w:val="32"/>
    <w:link w:val="8"/>
    <w:qFormat/>
    <w:uiPriority w:val="0"/>
    <w:rPr>
      <w:rFonts w:ascii="Cambria" w:hAnsi="Cambria" w:eastAsia="宋体" w:cs="Times New Roman"/>
      <w:b/>
      <w:bCs/>
      <w:sz w:val="28"/>
      <w:szCs w:val="28"/>
    </w:rPr>
  </w:style>
  <w:style w:type="character" w:customStyle="1" w:styleId="46">
    <w:name w:val="批注文字 字符"/>
    <w:basedOn w:val="32"/>
    <w:link w:val="12"/>
    <w:qFormat/>
    <w:uiPriority w:val="0"/>
    <w:rPr>
      <w:rFonts w:ascii="Times New Roman" w:hAnsi="Times New Roman" w:eastAsia="宋体" w:cs="Times New Roman"/>
      <w:szCs w:val="24"/>
    </w:rPr>
  </w:style>
  <w:style w:type="character" w:customStyle="1" w:styleId="47">
    <w:name w:val="批注主题 字符"/>
    <w:basedOn w:val="46"/>
    <w:link w:val="29"/>
    <w:qFormat/>
    <w:uiPriority w:val="0"/>
    <w:rPr>
      <w:rFonts w:ascii="Times New Roman" w:hAnsi="Times New Roman" w:eastAsia="宋体" w:cs="Times New Roman"/>
      <w:b/>
      <w:bCs/>
      <w:szCs w:val="24"/>
    </w:rPr>
  </w:style>
  <w:style w:type="character" w:customStyle="1" w:styleId="48">
    <w:name w:val="注释标题 字符"/>
    <w:basedOn w:val="32"/>
    <w:link w:val="10"/>
    <w:qFormat/>
    <w:uiPriority w:val="0"/>
    <w:rPr>
      <w:rFonts w:ascii="Calibri" w:hAnsi="Calibri" w:cs="Times New Roman"/>
      <w:sz w:val="24"/>
      <w:szCs w:val="24"/>
    </w:rPr>
  </w:style>
  <w:style w:type="character" w:customStyle="1" w:styleId="49">
    <w:name w:val="文档结构图 字符"/>
    <w:basedOn w:val="32"/>
    <w:link w:val="11"/>
    <w:qFormat/>
    <w:uiPriority w:val="0"/>
    <w:rPr>
      <w:rFonts w:ascii="宋体"/>
      <w:sz w:val="18"/>
      <w:szCs w:val="18"/>
    </w:rPr>
  </w:style>
  <w:style w:type="character" w:customStyle="1" w:styleId="50">
    <w:name w:val="正文文本 字符"/>
    <w:basedOn w:val="32"/>
    <w:link w:val="13"/>
    <w:qFormat/>
    <w:uiPriority w:val="0"/>
    <w:rPr>
      <w:rFonts w:ascii="Times New Roman" w:hAnsi="Times New Roman" w:cs="Times New Roman"/>
      <w:szCs w:val="24"/>
    </w:rPr>
  </w:style>
  <w:style w:type="character" w:customStyle="1" w:styleId="51">
    <w:name w:val="正文文本缩进 字符"/>
    <w:basedOn w:val="32"/>
    <w:link w:val="3"/>
    <w:qFormat/>
    <w:uiPriority w:val="0"/>
    <w:rPr>
      <w:rFonts w:ascii="Times New Roman" w:hAnsi="Times New Roman" w:eastAsia="宋体" w:cs="Times New Roman"/>
      <w:sz w:val="24"/>
      <w:szCs w:val="24"/>
    </w:rPr>
  </w:style>
  <w:style w:type="character" w:customStyle="1" w:styleId="52">
    <w:name w:val="纯文本 字符"/>
    <w:basedOn w:val="32"/>
    <w:qFormat/>
    <w:uiPriority w:val="0"/>
    <w:rPr>
      <w:rFonts w:hAnsi="Courier New" w:cs="Courier New" w:asciiTheme="minorEastAsia"/>
      <w:szCs w:val="24"/>
    </w:rPr>
  </w:style>
  <w:style w:type="character" w:customStyle="1" w:styleId="53">
    <w:name w:val="日期 字符"/>
    <w:basedOn w:val="32"/>
    <w:link w:val="19"/>
    <w:qFormat/>
    <w:uiPriority w:val="0"/>
    <w:rPr>
      <w:rFonts w:ascii="Times New Roman" w:hAnsi="Times New Roman" w:eastAsia="宋体" w:cs="Times New Roman"/>
      <w:szCs w:val="20"/>
    </w:rPr>
  </w:style>
  <w:style w:type="character" w:customStyle="1" w:styleId="54">
    <w:name w:val="正文文本缩进 2 字符"/>
    <w:basedOn w:val="32"/>
    <w:link w:val="20"/>
    <w:qFormat/>
    <w:uiPriority w:val="0"/>
    <w:rPr>
      <w:rFonts w:ascii="Times New Roman" w:hAnsi="Times New Roman" w:eastAsia="宋体" w:cs="Times New Roman"/>
      <w:sz w:val="24"/>
      <w:szCs w:val="24"/>
    </w:rPr>
  </w:style>
  <w:style w:type="character" w:customStyle="1" w:styleId="55">
    <w:name w:val="批注框文本 字符"/>
    <w:basedOn w:val="32"/>
    <w:link w:val="21"/>
    <w:qFormat/>
    <w:uiPriority w:val="0"/>
    <w:rPr>
      <w:rFonts w:ascii="Times New Roman" w:hAnsi="Times New Roman" w:eastAsia="宋体" w:cs="Times New Roman"/>
      <w:sz w:val="18"/>
      <w:szCs w:val="18"/>
    </w:rPr>
  </w:style>
  <w:style w:type="character" w:customStyle="1" w:styleId="56">
    <w:name w:val="正文文本缩进 3 字符"/>
    <w:basedOn w:val="32"/>
    <w:link w:val="26"/>
    <w:qFormat/>
    <w:uiPriority w:val="0"/>
    <w:rPr>
      <w:rFonts w:ascii="Times New Roman" w:hAnsi="Times New Roman" w:eastAsia="宋体" w:cs="Times New Roman"/>
      <w:sz w:val="16"/>
      <w:szCs w:val="16"/>
    </w:rPr>
  </w:style>
  <w:style w:type="character" w:customStyle="1" w:styleId="57">
    <w:name w:val="标题 字符"/>
    <w:basedOn w:val="32"/>
    <w:link w:val="28"/>
    <w:qFormat/>
    <w:uiPriority w:val="0"/>
    <w:rPr>
      <w:rFonts w:ascii="Arial" w:hAnsi="Arial" w:eastAsia="Times New Roman" w:cs="Times New Roman"/>
      <w:sz w:val="32"/>
      <w:szCs w:val="32"/>
    </w:rPr>
  </w:style>
  <w:style w:type="character" w:customStyle="1" w:styleId="58">
    <w:name w:val="署名 Char"/>
    <w:qFormat/>
    <w:uiPriority w:val="0"/>
    <w:rPr>
      <w:rFonts w:eastAsia="宋体"/>
      <w:kern w:val="28"/>
      <w:sz w:val="28"/>
      <w:lang w:val="en-US" w:eastAsia="zh-CN" w:bidi="ar-SA"/>
    </w:rPr>
  </w:style>
  <w:style w:type="character" w:customStyle="1" w:styleId="59">
    <w:name w:val="common_over_page_btn2"/>
    <w:qFormat/>
    <w:uiPriority w:val="0"/>
    <w:rPr>
      <w:rFonts w:ascii="Times New Roman" w:hAnsi="Times New Roman" w:cs="Times New Roman"/>
      <w:sz w:val="21"/>
      <w:szCs w:val="24"/>
      <w:bdr w:val="single" w:color="D2D2D2" w:sz="6" w:space="0"/>
      <w:shd w:val="clear" w:color="auto" w:fill="EDEDED"/>
    </w:rPr>
  </w:style>
  <w:style w:type="character" w:customStyle="1" w:styleId="60">
    <w:name w:val="正文缩进 字符1"/>
    <w:link w:val="6"/>
    <w:qFormat/>
    <w:uiPriority w:val="0"/>
    <w:rPr>
      <w:rFonts w:eastAsia="Wingdings"/>
    </w:rPr>
  </w:style>
  <w:style w:type="character" w:customStyle="1" w:styleId="61">
    <w:name w:val="chs1"/>
    <w:qFormat/>
    <w:uiPriority w:val="0"/>
    <w:rPr>
      <w:rFonts w:hint="default" w:cs="Times New Roman"/>
      <w:sz w:val="18"/>
      <w:szCs w:val="18"/>
    </w:rPr>
  </w:style>
  <w:style w:type="character" w:customStyle="1" w:styleId="62">
    <w:name w:val="ändrad Char"/>
    <w:qFormat/>
    <w:uiPriority w:val="0"/>
    <w:rPr>
      <w:rFonts w:eastAsia="仿宋_GB2312"/>
      <w:kern w:val="2"/>
      <w:sz w:val="21"/>
      <w:szCs w:val="24"/>
      <w:lang w:val="en-US" w:eastAsia="zh-CN" w:bidi="ar-SA"/>
    </w:rPr>
  </w:style>
  <w:style w:type="character" w:customStyle="1" w:styleId="63">
    <w:name w:val="正文缩进 字符"/>
    <w:qFormat/>
    <w:uiPriority w:val="0"/>
    <w:rPr>
      <w:rFonts w:eastAsia="Wingdings"/>
      <w:sz w:val="21"/>
      <w:lang w:val="en-US" w:eastAsia="zh-CN" w:bidi="ar-SA"/>
    </w:rPr>
  </w:style>
  <w:style w:type="character" w:customStyle="1" w:styleId="64">
    <w:name w:val="纯文本 Char"/>
    <w:qFormat/>
    <w:uiPriority w:val="0"/>
    <w:rPr>
      <w:rFonts w:ascii="宋体" w:hAnsi="Courier New" w:eastAsia="宋体"/>
      <w:sz w:val="21"/>
      <w:lang w:val="en-US" w:eastAsia="zh-CN" w:bidi="ar-SA"/>
    </w:rPr>
  </w:style>
  <w:style w:type="character" w:customStyle="1" w:styleId="65">
    <w:name w:val="common_over_page_btn1"/>
    <w:qFormat/>
    <w:uiPriority w:val="0"/>
    <w:rPr>
      <w:rFonts w:ascii="Times New Roman" w:hAnsi="Times New Roman" w:cs="Times New Roman"/>
      <w:sz w:val="21"/>
      <w:szCs w:val="24"/>
    </w:rPr>
  </w:style>
  <w:style w:type="character" w:customStyle="1" w:styleId="66">
    <w:name w:val="dash6b63_6587__char"/>
    <w:basedOn w:val="32"/>
    <w:qFormat/>
    <w:uiPriority w:val="0"/>
    <w:rPr>
      <w:rFonts w:ascii="Times New Roman" w:hAnsi="Times New Roman" w:cs="Times New Roman"/>
      <w:sz w:val="21"/>
      <w:szCs w:val="24"/>
    </w:rPr>
  </w:style>
  <w:style w:type="character" w:customStyle="1" w:styleId="67">
    <w:name w:val="common_over_page_btn"/>
    <w:qFormat/>
    <w:uiPriority w:val="0"/>
    <w:rPr>
      <w:rFonts w:ascii="Times New Roman" w:hAnsi="Times New Roman" w:cs="Times New Roman"/>
      <w:sz w:val="21"/>
      <w:szCs w:val="24"/>
    </w:rPr>
  </w:style>
  <w:style w:type="character" w:customStyle="1" w:styleId="68">
    <w:name w:val="纯文本 字符1"/>
    <w:link w:val="18"/>
    <w:qFormat/>
    <w:uiPriority w:val="0"/>
    <w:rPr>
      <w:rFonts w:ascii="Wingdings" w:hAnsi="长城仿宋" w:eastAsia="Wingdings"/>
      <w:szCs w:val="21"/>
    </w:rPr>
  </w:style>
  <w:style w:type="character" w:customStyle="1" w:styleId="69">
    <w:name w:val="style13"/>
    <w:basedOn w:val="32"/>
    <w:qFormat/>
    <w:uiPriority w:val="0"/>
    <w:rPr>
      <w:rFonts w:ascii="Times New Roman" w:hAnsi="Times New Roman" w:cs="Times New Roman"/>
      <w:sz w:val="21"/>
      <w:szCs w:val="24"/>
    </w:rPr>
  </w:style>
  <w:style w:type="character" w:customStyle="1" w:styleId="70">
    <w:name w:val="Char Char7"/>
    <w:qFormat/>
    <w:uiPriority w:val="0"/>
    <w:rPr>
      <w:rFonts w:eastAsia="仿宋_GB2312"/>
      <w:sz w:val="21"/>
      <w:lang w:val="en-US" w:eastAsia="zh-CN" w:bidi="ar-SA"/>
    </w:rPr>
  </w:style>
  <w:style w:type="character" w:customStyle="1" w:styleId="71">
    <w:name w:val="正文缩进 Char"/>
    <w:qFormat/>
    <w:uiPriority w:val="0"/>
    <w:rPr>
      <w:rFonts w:eastAsia="Wingdings"/>
      <w:sz w:val="21"/>
      <w:lang w:val="en-US" w:eastAsia="zh-CN" w:bidi="ar-SA"/>
    </w:rPr>
  </w:style>
  <w:style w:type="character" w:customStyle="1" w:styleId="72">
    <w:name w:val="纯文本 Char1"/>
    <w:qFormat/>
    <w:uiPriority w:val="99"/>
    <w:rPr>
      <w:rFonts w:ascii="宋体" w:hAnsi="Courier New"/>
      <w:kern w:val="2"/>
      <w:sz w:val="21"/>
      <w:szCs w:val="24"/>
    </w:rPr>
  </w:style>
  <w:style w:type="paragraph" w:customStyle="1" w:styleId="7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
    <w:name w:val="Char Char"/>
    <w:basedOn w:val="1"/>
    <w:qFormat/>
    <w:uiPriority w:val="0"/>
  </w:style>
  <w:style w:type="paragraph" w:customStyle="1" w:styleId="7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u w:val="single"/>
    </w:rPr>
  </w:style>
  <w:style w:type="paragraph" w:customStyle="1" w:styleId="76">
    <w:name w:val="标题6"/>
    <w:basedOn w:val="1"/>
    <w:next w:val="4"/>
    <w:qFormat/>
    <w:uiPriority w:val="0"/>
    <w:pPr>
      <w:widowControl/>
      <w:snapToGrid w:val="0"/>
      <w:spacing w:beforeLines="50" w:afterLines="50" w:line="520" w:lineRule="atLeast"/>
      <w:ind w:firstLine="200" w:firstLineChars="200"/>
    </w:pPr>
    <w:rPr>
      <w:rFonts w:cs="黑体"/>
      <w:b/>
      <w:sz w:val="24"/>
    </w:rPr>
  </w:style>
  <w:style w:type="paragraph" w:customStyle="1" w:styleId="77">
    <w:name w:val="Char Char2 Char"/>
    <w:basedOn w:val="1"/>
    <w:qFormat/>
    <w:uiPriority w:val="0"/>
    <w:pPr>
      <w:keepNext/>
      <w:keepLines/>
      <w:pageBreakBefore/>
      <w:tabs>
        <w:tab w:val="left" w:pos="845"/>
      </w:tabs>
      <w:ind w:left="845" w:hanging="420"/>
    </w:pPr>
    <w:rPr>
      <w:szCs w:val="20"/>
    </w:rPr>
  </w:style>
  <w:style w:type="paragraph" w:customStyle="1" w:styleId="78">
    <w:name w:val="font9"/>
    <w:basedOn w:val="1"/>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79">
    <w:name w:val="xl65"/>
    <w:basedOn w:val="1"/>
    <w:qFormat/>
    <w:uiPriority w:val="0"/>
    <w:pPr>
      <w:widowControl/>
      <w:spacing w:before="100" w:beforeAutospacing="1" w:after="100" w:afterAutospacing="1"/>
      <w:jc w:val="center"/>
    </w:pPr>
    <w:rPr>
      <w:rFonts w:ascii="宋体" w:hAnsi="宋体" w:cs="宋体"/>
      <w:kern w:val="0"/>
      <w:sz w:val="24"/>
    </w:rPr>
  </w:style>
  <w:style w:type="character" w:customStyle="1" w:styleId="80">
    <w:name w:val="注释标题 字符1"/>
    <w:basedOn w:val="32"/>
    <w:semiHidden/>
    <w:qFormat/>
    <w:uiPriority w:val="99"/>
    <w:rPr>
      <w:rFonts w:ascii="Times New Roman" w:hAnsi="Times New Roman" w:eastAsia="宋体" w:cs="Times New Roman"/>
      <w:szCs w:val="24"/>
    </w:rPr>
  </w:style>
  <w:style w:type="paragraph" w:customStyle="1" w:styleId="81">
    <w:name w:val="段"/>
    <w:qFormat/>
    <w:uiPriority w:val="0"/>
    <w:pPr>
      <w:autoSpaceDE w:val="0"/>
      <w:autoSpaceDN w:val="0"/>
      <w:ind w:firstLine="200" w:firstLineChars="200"/>
      <w:jc w:val="both"/>
    </w:pPr>
    <w:rPr>
      <w:rFonts w:ascii="Wingdings" w:hAnsi="Times New Roman" w:eastAsia="宋体" w:cs="Times New Roman"/>
      <w:sz w:val="21"/>
      <w:lang w:val="en-US" w:eastAsia="zh-CN" w:bidi="ar-SA"/>
    </w:rPr>
  </w:style>
  <w:style w:type="paragraph" w:customStyle="1" w:styleId="82">
    <w:name w:val="_Style 5"/>
    <w:basedOn w:val="11"/>
    <w:qFormat/>
    <w:uiPriority w:val="0"/>
    <w:pPr>
      <w:shd w:val="clear" w:color="auto" w:fill="000080"/>
    </w:pPr>
    <w:rPr>
      <w:rFonts w:ascii="Times New Roman"/>
      <w:sz w:val="21"/>
      <w:szCs w:val="24"/>
    </w:rPr>
  </w:style>
  <w:style w:type="paragraph" w:customStyle="1" w:styleId="83">
    <w:name w:val="05 Body"/>
    <w:basedOn w:val="1"/>
    <w:qFormat/>
    <w:uiPriority w:val="0"/>
    <w:pPr>
      <w:widowControl/>
      <w:spacing w:line="288" w:lineRule="auto"/>
    </w:pPr>
    <w:rPr>
      <w:rFonts w:ascii="Arial" w:hAnsi="Arial"/>
      <w:kern w:val="20"/>
      <w:sz w:val="24"/>
      <w:lang w:val="en-GB" w:eastAsia="en-US"/>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u w:val="single"/>
    </w:rPr>
  </w:style>
  <w:style w:type="paragraph" w:customStyle="1" w:styleId="86">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7">
    <w:name w:val="Level 1"/>
    <w:basedOn w:val="1"/>
    <w:next w:val="1"/>
    <w:qFormat/>
    <w:uiPriority w:val="0"/>
    <w:pPr>
      <w:keepNext/>
      <w:widowControl/>
      <w:numPr>
        <w:ilvl w:val="0"/>
        <w:numId w:val="2"/>
      </w:numPr>
      <w:tabs>
        <w:tab w:val="left" w:pos="624"/>
      </w:tabs>
      <w:spacing w:line="360" w:lineRule="auto"/>
      <w:outlineLvl w:val="0"/>
    </w:pPr>
    <w:rPr>
      <w:rFonts w:ascii="Arial" w:hAnsi="Arial" w:eastAsia="黑体"/>
      <w:b/>
      <w:caps/>
      <w:w w:val="105"/>
      <w:kern w:val="20"/>
      <w:sz w:val="24"/>
      <w:lang w:val="en-GB" w:eastAsia="en-US"/>
    </w:rPr>
  </w:style>
  <w:style w:type="character" w:customStyle="1" w:styleId="88">
    <w:name w:val="文档结构图 字符1"/>
    <w:basedOn w:val="32"/>
    <w:semiHidden/>
    <w:qFormat/>
    <w:uiPriority w:val="99"/>
    <w:rPr>
      <w:rFonts w:ascii="Microsoft YaHei UI" w:hAnsi="Times New Roman" w:eastAsia="Microsoft YaHei UI" w:cs="Times New Roman"/>
      <w:sz w:val="18"/>
      <w:szCs w:val="18"/>
    </w:rPr>
  </w:style>
  <w:style w:type="paragraph" w:customStyle="1" w:styleId="89">
    <w:name w:val="保留正文"/>
    <w:basedOn w:val="13"/>
    <w:qFormat/>
    <w:uiPriority w:val="0"/>
    <w:pPr>
      <w:keepNext/>
      <w:spacing w:after="160"/>
    </w:pPr>
    <w:rPr>
      <w:rFonts w:ascii="黑体" w:hAnsi="黑体" w:eastAsia="Wingdings" w:cs="黑体"/>
    </w:rPr>
  </w:style>
  <w:style w:type="paragraph" w:customStyle="1" w:styleId="90">
    <w:name w:val="Char Char Char Char1 Char Char Char Char"/>
    <w:basedOn w:val="1"/>
    <w:qFormat/>
    <w:uiPriority w:val="0"/>
    <w:pPr>
      <w:widowControl/>
      <w:spacing w:after="160" w:line="240" w:lineRule="exact"/>
      <w:jc w:val="left"/>
    </w:pPr>
    <w:rPr>
      <w:szCs w:val="20"/>
    </w:rPr>
  </w:style>
  <w:style w:type="paragraph" w:customStyle="1" w:styleId="91">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93">
    <w:name w:val="纯文本 字符2"/>
    <w:basedOn w:val="32"/>
    <w:semiHidden/>
    <w:qFormat/>
    <w:uiPriority w:val="99"/>
    <w:rPr>
      <w:rFonts w:hAnsi="Courier New" w:cs="Courier New" w:asciiTheme="minorEastAsia"/>
      <w:szCs w:val="24"/>
    </w:rPr>
  </w:style>
  <w:style w:type="paragraph" w:customStyle="1" w:styleId="9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6">
    <w:name w:val="Sublisttext"/>
    <w:next w:val="97"/>
    <w:qFormat/>
    <w:uiPriority w:val="0"/>
    <w:pPr>
      <w:spacing w:before="80" w:after="80" w:line="240" w:lineRule="atLeast"/>
      <w:ind w:left="958"/>
    </w:pPr>
    <w:rPr>
      <w:rFonts w:ascii="Times New Roman" w:hAnsi="Times New Roman" w:eastAsia="宋体" w:cs="Times New Roman"/>
      <w:kern w:val="2"/>
      <w:sz w:val="21"/>
      <w:szCs w:val="24"/>
      <w:lang w:val="en-US" w:eastAsia="zh-CN" w:bidi="ar-SA"/>
    </w:rPr>
  </w:style>
  <w:style w:type="paragraph" w:customStyle="1" w:styleId="97">
    <w:name w:val="Sublist"/>
    <w:qFormat/>
    <w:uiPriority w:val="0"/>
    <w:pPr>
      <w:tabs>
        <w:tab w:val="left" w:pos="391"/>
      </w:tabs>
      <w:spacing w:before="80" w:after="80" w:line="240" w:lineRule="atLeast"/>
      <w:ind w:left="391" w:hanging="391"/>
    </w:pPr>
    <w:rPr>
      <w:rFonts w:ascii="Times New Roman" w:hAnsi="Times New Roman" w:eastAsia="宋体" w:cs="Times New Roman"/>
      <w:kern w:val="2"/>
      <w:sz w:val="21"/>
      <w:szCs w:val="24"/>
      <w:lang w:val="en-US" w:eastAsia="zh-CN" w:bidi="ar-SA"/>
    </w:rPr>
  </w:style>
  <w:style w:type="paragraph" w:customStyle="1" w:styleId="9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1">
    <w:name w:val="Default"/>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102">
    <w:name w:val="Char Char Char Char"/>
    <w:basedOn w:val="11"/>
    <w:qFormat/>
    <w:uiPriority w:val="0"/>
    <w:pPr>
      <w:shd w:val="clear" w:color="auto" w:fill="000080"/>
    </w:pPr>
    <w:rPr>
      <w:rFonts w:ascii="Times New Roman"/>
      <w:sz w:val="21"/>
      <w:szCs w:val="24"/>
    </w:rPr>
  </w:style>
  <w:style w:type="paragraph" w:customStyle="1" w:styleId="103">
    <w:name w:val="正文1"/>
    <w:basedOn w:val="1"/>
    <w:qFormat/>
    <w:uiPriority w:val="0"/>
    <w:pPr>
      <w:spacing w:line="500" w:lineRule="exact"/>
    </w:pPr>
    <w:rPr>
      <w:rFonts w:ascii="黑体" w:hAnsi="黑体"/>
      <w:sz w:val="24"/>
      <w:szCs w:val="20"/>
    </w:rPr>
  </w:style>
  <w:style w:type="paragraph" w:customStyle="1" w:styleId="10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5">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1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10">
    <w:name w:val="xl8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11">
    <w:name w:val="Contents2"/>
    <w:basedOn w:val="1"/>
    <w:next w:val="1"/>
    <w:qFormat/>
    <w:uiPriority w:val="0"/>
    <w:pPr>
      <w:spacing w:before="60" w:after="60" w:line="360" w:lineRule="atLeast"/>
      <w:outlineLvl w:val="1"/>
    </w:pPr>
    <w:rPr>
      <w:rFonts w:eastAsia="Tahoma"/>
      <w:b/>
      <w:bCs/>
      <w:sz w:val="28"/>
    </w:rPr>
  </w:style>
  <w:style w:type="paragraph" w:customStyle="1" w:styleId="112">
    <w:name w:val="Level 4"/>
    <w:basedOn w:val="1"/>
    <w:qFormat/>
    <w:uiPriority w:val="0"/>
    <w:pPr>
      <w:widowControl/>
      <w:numPr>
        <w:ilvl w:val="3"/>
        <w:numId w:val="2"/>
      </w:numPr>
      <w:tabs>
        <w:tab w:val="left" w:pos="1817"/>
      </w:tabs>
      <w:spacing w:after="120" w:line="336" w:lineRule="auto"/>
      <w:outlineLvl w:val="3"/>
    </w:pPr>
    <w:rPr>
      <w:rFonts w:ascii="Arial" w:hAnsi="Arial"/>
      <w:w w:val="105"/>
      <w:kern w:val="20"/>
      <w:sz w:val="24"/>
      <w:lang w:val="en-GB" w:eastAsia="en-US"/>
    </w:rPr>
  </w:style>
  <w:style w:type="paragraph" w:customStyle="1" w:styleId="11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15">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16">
    <w:name w:val="列出段落1"/>
    <w:basedOn w:val="1"/>
    <w:qFormat/>
    <w:uiPriority w:val="99"/>
    <w:pPr>
      <w:ind w:firstLine="420" w:firstLineChars="200"/>
    </w:pPr>
  </w:style>
  <w:style w:type="paragraph" w:customStyle="1" w:styleId="11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9">
    <w:name w:val="表头文本"/>
    <w:basedOn w:val="1"/>
    <w:qFormat/>
    <w:uiPriority w:val="0"/>
    <w:pPr>
      <w:autoSpaceDE w:val="0"/>
      <w:autoSpaceDN w:val="0"/>
      <w:adjustRightInd w:val="0"/>
      <w:jc w:val="center"/>
    </w:pPr>
    <w:rPr>
      <w:b/>
      <w:kern w:val="0"/>
      <w:sz w:val="24"/>
      <w:szCs w:val="20"/>
    </w:rPr>
  </w:style>
  <w:style w:type="paragraph" w:customStyle="1" w:styleId="120">
    <w:name w:val="无间隔1"/>
    <w:qFormat/>
    <w:uiPriority w:val="0"/>
    <w:pPr>
      <w:widowControl w:val="0"/>
      <w:jc w:val="both"/>
    </w:pPr>
    <w:rPr>
      <w:rFonts w:ascii="Courier New" w:hAnsi="Courier New" w:eastAsia="宋体" w:cs="Courier New"/>
      <w:kern w:val="2"/>
      <w:sz w:val="21"/>
      <w:szCs w:val="21"/>
      <w:lang w:val="en-US" w:eastAsia="zh-CN" w:bidi="ar-SA"/>
    </w:rPr>
  </w:style>
  <w:style w:type="paragraph" w:customStyle="1" w:styleId="121">
    <w:name w:val="招标文件－标准正文"/>
    <w:basedOn w:val="18"/>
    <w:qFormat/>
    <w:uiPriority w:val="0"/>
    <w:pPr>
      <w:spacing w:line="360" w:lineRule="auto"/>
    </w:pPr>
    <w:rPr>
      <w:rFonts w:ascii="Times New Roman" w:hAnsi="Times New Roman" w:eastAsia="宋体" w:cs="宋体"/>
      <w:color w:val="000000"/>
      <w:sz w:val="24"/>
      <w:szCs w:val="20"/>
    </w:rPr>
  </w:style>
  <w:style w:type="paragraph" w:customStyle="1" w:styleId="122">
    <w:name w:val="02 Parties"/>
    <w:basedOn w:val="1"/>
    <w:qFormat/>
    <w:uiPriority w:val="0"/>
    <w:pPr>
      <w:widowControl/>
      <w:tabs>
        <w:tab w:val="left" w:pos="567"/>
        <w:tab w:val="left" w:pos="624"/>
      </w:tabs>
      <w:spacing w:line="288" w:lineRule="auto"/>
      <w:ind w:left="624" w:hanging="624"/>
    </w:pPr>
    <w:rPr>
      <w:rFonts w:ascii="Arial" w:hAnsi="Arial"/>
      <w:kern w:val="20"/>
      <w:sz w:val="24"/>
      <w:lang w:val="en-GB" w:eastAsia="en-US"/>
    </w:rPr>
  </w:style>
  <w:style w:type="paragraph" w:customStyle="1" w:styleId="12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4">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character" w:customStyle="1" w:styleId="125">
    <w:name w:val="正文文本 字符1"/>
    <w:basedOn w:val="32"/>
    <w:semiHidden/>
    <w:qFormat/>
    <w:uiPriority w:val="99"/>
    <w:rPr>
      <w:rFonts w:ascii="Times New Roman" w:hAnsi="Times New Roman" w:eastAsia="宋体" w:cs="Times New Roman"/>
      <w:szCs w:val="24"/>
    </w:rPr>
  </w:style>
  <w:style w:type="paragraph" w:customStyle="1" w:styleId="126">
    <w:name w:val="表内文字"/>
    <w:basedOn w:val="1"/>
    <w:qFormat/>
    <w:uiPriority w:val="0"/>
    <w:pPr>
      <w:adjustRightInd w:val="0"/>
      <w:snapToGrid w:val="0"/>
      <w:spacing w:line="500" w:lineRule="atLeast"/>
      <w:jc w:val="center"/>
    </w:pPr>
    <w:rPr>
      <w:rFonts w:ascii="黑体" w:hAnsi="黑体" w:eastAsia="长城仿宋" w:cs="黑体"/>
      <w:sz w:val="24"/>
    </w:rPr>
  </w:style>
  <w:style w:type="paragraph" w:customStyle="1" w:styleId="127">
    <w:name w:val="Char"/>
    <w:basedOn w:val="1"/>
    <w:qFormat/>
    <w:uiPriority w:val="0"/>
    <w:rPr>
      <w:rFonts w:ascii="仿宋_GB2312" w:eastAsia="仿宋_GB2312"/>
      <w:b/>
      <w:sz w:val="32"/>
      <w:szCs w:val="32"/>
    </w:rPr>
  </w:style>
  <w:style w:type="paragraph" w:customStyle="1" w:styleId="128">
    <w:name w:val="04 Recitals"/>
    <w:basedOn w:val="83"/>
    <w:qFormat/>
    <w:uiPriority w:val="0"/>
    <w:pPr>
      <w:numPr>
        <w:ilvl w:val="0"/>
        <w:numId w:val="3"/>
      </w:numPr>
      <w:tabs>
        <w:tab w:val="left" w:pos="480"/>
      </w:tabs>
    </w:pPr>
  </w:style>
  <w:style w:type="paragraph" w:customStyle="1" w:styleId="129">
    <w:name w:val="列表段落1"/>
    <w:basedOn w:val="1"/>
    <w:qFormat/>
    <w:uiPriority w:val="0"/>
    <w:pPr>
      <w:ind w:firstLine="420" w:firstLineChars="200"/>
    </w:pPr>
    <w:rPr>
      <w:rFonts w:ascii="Courier New" w:hAnsi="Courier New" w:cs="Courier New"/>
      <w:szCs w:val="21"/>
    </w:rPr>
  </w:style>
  <w:style w:type="paragraph" w:customStyle="1" w:styleId="13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2">
    <w:name w:val="默认段落字体 Para Char Char Char Char"/>
    <w:basedOn w:val="1"/>
    <w:qFormat/>
    <w:uiPriority w:val="0"/>
    <w:rPr>
      <w:szCs w:val="20"/>
    </w:rPr>
  </w:style>
  <w:style w:type="paragraph" w:customStyle="1" w:styleId="133">
    <w:name w:val="Level 2"/>
    <w:basedOn w:val="1"/>
    <w:next w:val="1"/>
    <w:qFormat/>
    <w:uiPriority w:val="0"/>
    <w:pPr>
      <w:numPr>
        <w:ilvl w:val="2"/>
        <w:numId w:val="4"/>
      </w:numPr>
      <w:tabs>
        <w:tab w:val="left" w:pos="2041"/>
      </w:tabs>
      <w:spacing w:after="140" w:line="290" w:lineRule="auto"/>
    </w:pPr>
    <w:rPr>
      <w:rFonts w:ascii="Calibri" w:hAnsi="Calibri"/>
      <w:kern w:val="20"/>
      <w:szCs w:val="28"/>
    </w:rPr>
  </w:style>
  <w:style w:type="paragraph" w:customStyle="1" w:styleId="134">
    <w:name w:val="Char Char Char Char1"/>
    <w:basedOn w:val="1"/>
    <w:qFormat/>
    <w:uiPriority w:val="0"/>
    <w:rPr>
      <w:kern w:val="0"/>
      <w:sz w:val="24"/>
      <w:szCs w:val="20"/>
    </w:rPr>
  </w:style>
  <w:style w:type="paragraph" w:customStyle="1" w:styleId="135">
    <w:name w:val="Char Char Char Char Char Char Char"/>
    <w:basedOn w:val="1"/>
    <w:qFormat/>
    <w:uiPriority w:val="0"/>
  </w:style>
  <w:style w:type="paragraph" w:customStyle="1" w:styleId="136">
    <w:name w:val="Char Char Char Char Char Char Char Char Char Char Char Char Char"/>
    <w:basedOn w:val="1"/>
    <w:qFormat/>
    <w:uiPriority w:val="0"/>
    <w:rPr>
      <w:rFonts w:ascii="Univers LT Std 57 Cn" w:hAnsi="Univers LT Std 57 Cn"/>
      <w:sz w:val="24"/>
      <w:szCs w:val="20"/>
    </w:rPr>
  </w:style>
  <w:style w:type="paragraph" w:customStyle="1" w:styleId="137">
    <w:name w:val="Char Char Char Char Char Char Char Char Char1 Char"/>
    <w:basedOn w:val="1"/>
    <w:qFormat/>
    <w:uiPriority w:val="0"/>
  </w:style>
  <w:style w:type="paragraph" w:customStyle="1" w:styleId="1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0">
    <w:name w:val="03 Wheras"/>
    <w:basedOn w:val="1"/>
    <w:qFormat/>
    <w:uiPriority w:val="0"/>
    <w:pPr>
      <w:widowControl/>
      <w:spacing w:line="288" w:lineRule="auto"/>
    </w:pPr>
    <w:rPr>
      <w:rFonts w:ascii="Arial" w:hAnsi="Arial" w:eastAsia="黑体"/>
      <w:b/>
      <w:kern w:val="20"/>
      <w:sz w:val="24"/>
      <w:lang w:val="en-GB" w:eastAsia="en-US"/>
    </w:rPr>
  </w:style>
  <w:style w:type="paragraph" w:customStyle="1" w:styleId="141">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42">
    <w:name w:val="CM106"/>
    <w:basedOn w:val="101"/>
    <w:next w:val="101"/>
    <w:qFormat/>
    <w:uiPriority w:val="0"/>
    <w:rPr>
      <w:rFonts w:ascii="宋体" w:cs="Times New Roman"/>
      <w:color w:val="auto"/>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4">
    <w:name w:val="Char Char1"/>
    <w:basedOn w:val="1"/>
    <w:qFormat/>
    <w:uiPriority w:val="0"/>
    <w:rPr>
      <w:rFonts w:ascii="仿宋_GB2312" w:eastAsia="仿宋_GB2312"/>
      <w:b/>
      <w:kern w:val="0"/>
      <w:sz w:val="32"/>
      <w:szCs w:val="32"/>
    </w:rPr>
  </w:style>
  <w:style w:type="paragraph" w:customStyle="1" w:styleId="145">
    <w:name w:val="无间隔2"/>
    <w:qFormat/>
    <w:uiPriority w:val="1"/>
    <w:pPr>
      <w:widowControl w:val="0"/>
      <w:jc w:val="both"/>
    </w:pPr>
    <w:rPr>
      <w:rFonts w:ascii="Calibri" w:hAnsi="Calibri" w:eastAsia="宋体" w:cs="Times New Roman"/>
      <w:kern w:val="2"/>
      <w:sz w:val="21"/>
      <w:szCs w:val="22"/>
      <w:lang w:val="en-US" w:eastAsia="zh-CN" w:bidi="ar-SA"/>
    </w:rPr>
  </w:style>
  <w:style w:type="table" w:customStyle="1" w:styleId="146">
    <w:name w:val="网格表 1 浅色 - 着色 21"/>
    <w:basedOn w:val="30"/>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character" w:customStyle="1" w:styleId="147">
    <w:name w:val="bsharetext"/>
    <w:basedOn w:val="32"/>
    <w:qFormat/>
    <w:uiPriority w:val="0"/>
  </w:style>
  <w:style w:type="paragraph" w:customStyle="1" w:styleId="14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9">
    <w:name w:val="列出段落2"/>
    <w:basedOn w:val="1"/>
    <w:qFormat/>
    <w:uiPriority w:val="99"/>
    <w:pPr>
      <w:ind w:firstLine="420" w:firstLineChars="200"/>
    </w:pPr>
  </w:style>
  <w:style w:type="paragraph" w:customStyle="1" w:styleId="150">
    <w:name w:val="列表段落2"/>
    <w:basedOn w:val="1"/>
    <w:unhideWhenUsed/>
    <w:qFormat/>
    <w:uiPriority w:val="99"/>
    <w:pPr>
      <w:ind w:firstLine="420" w:firstLineChars="200"/>
    </w:pPr>
  </w:style>
  <w:style w:type="paragraph" w:customStyle="1" w:styleId="151">
    <w:name w:val="p15"/>
    <w:basedOn w:val="1"/>
    <w:qFormat/>
    <w:uiPriority w:val="0"/>
    <w:pPr>
      <w:widowControl/>
      <w:ind w:firstLine="420"/>
    </w:pPr>
    <w:rPr>
      <w:rFonts w:ascii="Calibri" w:hAnsi="Calibri" w:cs="宋体"/>
      <w:kern w:val="0"/>
      <w:szCs w:val="21"/>
    </w:rPr>
  </w:style>
  <w:style w:type="paragraph" w:customStyle="1" w:styleId="152">
    <w:name w:val="样式 正文文本缩进 2 + Times New Roman 首行缩进:  1.06 厘米 行距: 固定值 30 磅"/>
    <w:basedOn w:val="20"/>
    <w:qFormat/>
    <w:uiPriority w:val="0"/>
    <w:pPr>
      <w:spacing w:line="540" w:lineRule="exact"/>
      <w:ind w:firstLine="601" w:firstLineChars="0"/>
    </w:pPr>
    <w:rPr>
      <w:sz w:val="28"/>
      <w:szCs w:val="28"/>
    </w:rPr>
  </w:style>
  <w:style w:type="paragraph" w:customStyle="1" w:styleId="153">
    <w:name w:val="文档正文"/>
    <w:basedOn w:val="1"/>
    <w:qFormat/>
    <w:uiPriority w:val="0"/>
    <w:pPr>
      <w:adjustRightInd w:val="0"/>
      <w:spacing w:line="480" w:lineRule="atLeast"/>
      <w:ind w:firstLine="567"/>
      <w:textAlignment w:val="baseline"/>
    </w:pPr>
    <w:rPr>
      <w:kern w:val="0"/>
      <w:sz w:val="24"/>
      <w:szCs w:val="20"/>
    </w:rPr>
  </w:style>
  <w:style w:type="paragraph" w:customStyle="1" w:styleId="154">
    <w:name w:val="表格文本"/>
    <w:basedOn w:val="1"/>
    <w:qFormat/>
    <w:uiPriority w:val="0"/>
    <w:pPr>
      <w:tabs>
        <w:tab w:val="left" w:pos="0"/>
      </w:tabs>
      <w:adjustRightInd w:val="0"/>
      <w:snapToGrid w:val="0"/>
      <w:spacing w:beforeLines="50" w:after="120" w:afterLines="50" w:line="360" w:lineRule="auto"/>
      <w:ind w:firstLine="200" w:firstLineChars="200"/>
      <w:jc w:val="left"/>
    </w:pPr>
    <w:rPr>
      <w:rFonts w:ascii="Arial" w:hAnsi="Arial" w:eastAsia="楷体_GB2312"/>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64EC5-2A61-41D1-A239-CED0E35970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5802</Words>
  <Characters>33077</Characters>
  <Lines>275</Lines>
  <Paragraphs>77</Paragraphs>
  <TotalTime>5</TotalTime>
  <ScaleCrop>false</ScaleCrop>
  <LinksUpToDate>false</LinksUpToDate>
  <CharactersWithSpaces>38802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2021-07-25T15:25:00Z</dcterms:created>
  <dc:creator>胡凌锵</dc:creator>
  <cp:lastModifiedBy>Lenovo</cp:lastModifiedBy>
  <cp:lastPrinted>2018-07-25T06:41:00Z</cp:lastPrinted>
  <dcterms:modified xsi:type="dcterms:W3CDTF">2021-09-07T03:18:04Z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EB481AA3DF0C45C2BE4EDF23104A5EA1</vt:lpwstr>
  </property>
</Properties>
</file>